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pacing w:line="360" w:lineRule="auto"/>
        <w:ind w:right="-26"/>
        <w:jc w:val="both"/>
        <w:textAlignment w:val="bottom"/>
        <w:rPr>
          <w:rFonts w:hAnsi="宋体"/>
          <w:b/>
          <w:color w:val="auto"/>
          <w:sz w:val="44"/>
          <w:highlight w:val="none"/>
        </w:rPr>
      </w:pPr>
    </w:p>
    <w:p>
      <w:pPr>
        <w:rPr>
          <w:color w:val="auto"/>
          <w:highlight w:val="none"/>
        </w:rPr>
      </w:pPr>
    </w:p>
    <w:p>
      <w:pPr>
        <w:widowControl/>
        <w:spacing w:line="360" w:lineRule="auto"/>
        <w:ind w:right="-26"/>
        <w:jc w:val="center"/>
        <w:textAlignment w:val="bottom"/>
        <w:rPr>
          <w:rFonts w:hAnsi="宋体"/>
          <w:b/>
          <w:color w:val="auto"/>
          <w:sz w:val="72"/>
          <w:highlight w:val="none"/>
        </w:rPr>
      </w:pPr>
      <w:r>
        <w:rPr>
          <w:rFonts w:hint="eastAsia" w:hAnsi="宋体"/>
          <w:b/>
          <w:color w:val="auto"/>
          <w:sz w:val="72"/>
          <w:highlight w:val="none"/>
        </w:rPr>
        <w:t>竞争性磋商文件</w:t>
      </w:r>
    </w:p>
    <w:p>
      <w:pPr>
        <w:widowControl/>
        <w:spacing w:line="360" w:lineRule="auto"/>
        <w:ind w:right="-26"/>
        <w:jc w:val="center"/>
        <w:textAlignment w:val="bottom"/>
        <w:rPr>
          <w:rFonts w:hAnsi="宋体"/>
          <w:b/>
          <w:color w:val="auto"/>
          <w:sz w:val="72"/>
          <w:highlight w:val="none"/>
        </w:rPr>
      </w:pPr>
    </w:p>
    <w:p>
      <w:pPr>
        <w:widowControl/>
        <w:spacing w:line="360" w:lineRule="auto"/>
        <w:ind w:right="-26"/>
        <w:jc w:val="center"/>
        <w:textAlignment w:val="bottom"/>
        <w:rPr>
          <w:rFonts w:hAnsi="宋体"/>
          <w:b/>
          <w:color w:val="auto"/>
          <w:sz w:val="44"/>
          <w:highlight w:val="none"/>
        </w:rPr>
      </w:pPr>
      <w:r>
        <w:rPr>
          <w:rFonts w:hAnsi="宋体"/>
          <w:b/>
          <w:color w:val="auto"/>
          <w:sz w:val="44"/>
          <w:highlight w:val="none"/>
        </w:rPr>
        <w:drawing>
          <wp:inline distT="0" distB="0" distL="114300" distR="114300">
            <wp:extent cx="2141220" cy="2132330"/>
            <wp:effectExtent l="0" t="0" r="11430" b="1270"/>
            <wp:docPr id="8" name="图片 1" descr="E:/中科招标/LOGO&amp;名片/单LOGO.png单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descr="E:/中科招标/LOGO&amp;名片/单LOGO.png单LOGO"/>
                    <pic:cNvPicPr>
                      <a:picLocks noChangeAspect="1"/>
                    </pic:cNvPicPr>
                  </pic:nvPicPr>
                  <pic:blipFill>
                    <a:blip r:embed="rId9"/>
                    <a:srcRect l="491" r="491"/>
                    <a:stretch>
                      <a:fillRect/>
                    </a:stretch>
                  </pic:blipFill>
                  <pic:spPr>
                    <a:xfrm>
                      <a:off x="0" y="0"/>
                      <a:ext cx="2141220" cy="2132330"/>
                    </a:xfrm>
                    <a:prstGeom prst="rect">
                      <a:avLst/>
                    </a:prstGeom>
                    <a:noFill/>
                    <a:ln>
                      <a:noFill/>
                    </a:ln>
                  </pic:spPr>
                </pic:pic>
              </a:graphicData>
            </a:graphic>
          </wp:inline>
        </w:drawing>
      </w:r>
    </w:p>
    <w:p>
      <w:pPr>
        <w:widowControl/>
        <w:spacing w:line="360" w:lineRule="auto"/>
        <w:ind w:right="-26"/>
        <w:jc w:val="center"/>
        <w:textAlignment w:val="bottom"/>
        <w:rPr>
          <w:rFonts w:hAnsi="宋体"/>
          <w:b/>
          <w:color w:val="auto"/>
          <w:sz w:val="32"/>
          <w:highlight w:val="none"/>
        </w:rPr>
      </w:pPr>
    </w:p>
    <w:tbl>
      <w:tblPr>
        <w:tblStyle w:val="49"/>
        <w:tblW w:w="5092"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259"/>
        <w:gridCol w:w="642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82" w:hRule="atLeast"/>
          <w:jc w:val="center"/>
        </w:trPr>
        <w:tc>
          <w:tcPr>
            <w:tcW w:w="1301" w:type="pct"/>
          </w:tcPr>
          <w:p>
            <w:pPr>
              <w:widowControl/>
              <w:spacing w:line="500" w:lineRule="exact"/>
              <w:jc w:val="both"/>
              <w:textAlignment w:val="bottom"/>
              <w:rPr>
                <w:rFonts w:hAnsi="宋体"/>
                <w:b/>
                <w:color w:val="auto"/>
                <w:sz w:val="28"/>
                <w:highlight w:val="none"/>
              </w:rPr>
            </w:pPr>
            <w:r>
              <w:rPr>
                <w:rFonts w:hint="eastAsia" w:hAnsi="宋体"/>
                <w:b/>
                <w:color w:val="auto"/>
                <w:sz w:val="28"/>
                <w:highlight w:val="none"/>
              </w:rPr>
              <w:t>采购项目编号：</w:t>
            </w:r>
          </w:p>
        </w:tc>
        <w:tc>
          <w:tcPr>
            <w:tcW w:w="3698" w:type="pct"/>
          </w:tcPr>
          <w:p>
            <w:pPr>
              <w:widowControl/>
              <w:spacing w:line="500" w:lineRule="exact"/>
              <w:jc w:val="both"/>
              <w:textAlignment w:val="bottom"/>
              <w:rPr>
                <w:rFonts w:hAnsi="宋体"/>
                <w:b/>
                <w:color w:val="auto"/>
                <w:sz w:val="28"/>
                <w:highlight w:val="none"/>
              </w:rPr>
            </w:pPr>
            <w:r>
              <w:rPr>
                <w:rFonts w:hint="eastAsia" w:hAnsi="宋体"/>
                <w:b/>
                <w:color w:val="auto"/>
                <w:sz w:val="28"/>
                <w:highlight w:val="none"/>
              </w:rPr>
              <w:t>ZKZB-2024-C018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86" w:hRule="atLeast"/>
          <w:jc w:val="center"/>
        </w:trPr>
        <w:tc>
          <w:tcPr>
            <w:tcW w:w="1301" w:type="pct"/>
          </w:tcPr>
          <w:p>
            <w:pPr>
              <w:widowControl/>
              <w:spacing w:line="500" w:lineRule="exact"/>
              <w:jc w:val="both"/>
              <w:textAlignment w:val="bottom"/>
              <w:rPr>
                <w:rFonts w:hAnsi="宋体"/>
                <w:b/>
                <w:color w:val="auto"/>
                <w:sz w:val="28"/>
                <w:highlight w:val="none"/>
              </w:rPr>
            </w:pPr>
            <w:r>
              <w:rPr>
                <w:rFonts w:hint="eastAsia" w:hAnsi="宋体"/>
                <w:b/>
                <w:color w:val="auto"/>
                <w:sz w:val="28"/>
                <w:highlight w:val="none"/>
              </w:rPr>
              <w:t>项</w:t>
            </w:r>
            <w:r>
              <w:rPr>
                <w:rFonts w:hint="eastAsia" w:hAnsi="宋体"/>
                <w:color w:val="auto"/>
                <w:sz w:val="21"/>
                <w:szCs w:val="21"/>
                <w:highlight w:val="none"/>
              </w:rPr>
              <w:t>　</w:t>
            </w:r>
            <w:r>
              <w:rPr>
                <w:rFonts w:hint="eastAsia" w:hAnsi="宋体"/>
                <w:b/>
                <w:color w:val="auto"/>
                <w:sz w:val="28"/>
                <w:highlight w:val="none"/>
              </w:rPr>
              <w:t>目 名</w:t>
            </w:r>
            <w:r>
              <w:rPr>
                <w:rFonts w:hint="eastAsia" w:hAnsi="宋体"/>
                <w:color w:val="auto"/>
                <w:sz w:val="21"/>
                <w:szCs w:val="21"/>
                <w:highlight w:val="none"/>
              </w:rPr>
              <w:t>　</w:t>
            </w:r>
            <w:r>
              <w:rPr>
                <w:rFonts w:hint="eastAsia" w:hAnsi="宋体"/>
                <w:b/>
                <w:color w:val="auto"/>
                <w:sz w:val="28"/>
                <w:highlight w:val="none"/>
              </w:rPr>
              <w:t>称：</w:t>
            </w:r>
          </w:p>
        </w:tc>
        <w:tc>
          <w:tcPr>
            <w:tcW w:w="3698" w:type="pct"/>
          </w:tcPr>
          <w:p>
            <w:pPr>
              <w:widowControl/>
              <w:spacing w:line="500" w:lineRule="exact"/>
              <w:jc w:val="both"/>
              <w:textAlignment w:val="bottom"/>
              <w:rPr>
                <w:rFonts w:hAnsi="宋体"/>
                <w:b/>
                <w:color w:val="auto"/>
                <w:sz w:val="28"/>
                <w:highlight w:val="none"/>
              </w:rPr>
            </w:pPr>
            <w:r>
              <w:rPr>
                <w:rFonts w:hint="eastAsia" w:hAnsi="宋体"/>
                <w:b/>
                <w:color w:val="auto"/>
                <w:sz w:val="28"/>
                <w:highlight w:val="none"/>
              </w:rPr>
              <w:t>霄边社区典型村“百千万工程”建设提升规划编制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82" w:hRule="atLeast"/>
          <w:jc w:val="center"/>
        </w:trPr>
        <w:tc>
          <w:tcPr>
            <w:tcW w:w="1301" w:type="pct"/>
          </w:tcPr>
          <w:p>
            <w:pPr>
              <w:widowControl/>
              <w:spacing w:line="500" w:lineRule="exact"/>
              <w:jc w:val="both"/>
              <w:textAlignment w:val="bottom"/>
              <w:rPr>
                <w:rFonts w:hAnsi="宋体"/>
                <w:b/>
                <w:color w:val="auto"/>
                <w:sz w:val="28"/>
                <w:highlight w:val="none"/>
              </w:rPr>
            </w:pPr>
            <w:r>
              <w:rPr>
                <w:rFonts w:hint="eastAsia" w:hAnsi="宋体"/>
                <w:b/>
                <w:color w:val="auto"/>
                <w:sz w:val="28"/>
                <w:highlight w:val="none"/>
              </w:rPr>
              <w:t>采</w:t>
            </w:r>
            <w:r>
              <w:rPr>
                <w:rFonts w:hint="eastAsia" w:hAnsi="宋体"/>
                <w:color w:val="auto"/>
                <w:sz w:val="21"/>
                <w:szCs w:val="21"/>
                <w:highlight w:val="none"/>
              </w:rPr>
              <w:t>　　</w:t>
            </w:r>
            <w:r>
              <w:rPr>
                <w:rFonts w:hint="eastAsia" w:hAnsi="宋体"/>
                <w:b/>
                <w:color w:val="auto"/>
                <w:sz w:val="28"/>
                <w:highlight w:val="none"/>
              </w:rPr>
              <w:t>购</w:t>
            </w:r>
            <w:r>
              <w:rPr>
                <w:rFonts w:hint="eastAsia" w:hAnsi="宋体"/>
                <w:color w:val="auto"/>
                <w:sz w:val="21"/>
                <w:szCs w:val="21"/>
                <w:highlight w:val="none"/>
              </w:rPr>
              <w:t>　　</w:t>
            </w:r>
            <w:r>
              <w:rPr>
                <w:rFonts w:hint="eastAsia" w:hAnsi="宋体"/>
                <w:b/>
                <w:color w:val="auto"/>
                <w:sz w:val="28"/>
                <w:highlight w:val="none"/>
              </w:rPr>
              <w:t>人：</w:t>
            </w:r>
          </w:p>
        </w:tc>
        <w:tc>
          <w:tcPr>
            <w:tcW w:w="3698" w:type="pct"/>
          </w:tcPr>
          <w:p>
            <w:pPr>
              <w:widowControl/>
              <w:spacing w:line="500" w:lineRule="exact"/>
              <w:jc w:val="both"/>
              <w:textAlignment w:val="bottom"/>
              <w:rPr>
                <w:rFonts w:hAnsi="宋体"/>
                <w:b/>
                <w:color w:val="auto"/>
                <w:sz w:val="28"/>
                <w:highlight w:val="none"/>
              </w:rPr>
            </w:pPr>
            <w:r>
              <w:rPr>
                <w:rFonts w:hint="eastAsia" w:hAnsi="宋体"/>
                <w:b/>
                <w:color w:val="auto"/>
                <w:sz w:val="28"/>
                <w:highlight w:val="none"/>
              </w:rPr>
              <w:t>东莞市长安镇霄边社区居民委员会</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82" w:hRule="atLeast"/>
          <w:jc w:val="center"/>
        </w:trPr>
        <w:tc>
          <w:tcPr>
            <w:tcW w:w="1301" w:type="pct"/>
          </w:tcPr>
          <w:p>
            <w:pPr>
              <w:widowControl/>
              <w:spacing w:line="500" w:lineRule="exact"/>
              <w:jc w:val="both"/>
              <w:textAlignment w:val="bottom"/>
              <w:rPr>
                <w:rFonts w:hAnsi="宋体"/>
                <w:b/>
                <w:color w:val="auto"/>
                <w:sz w:val="28"/>
                <w:highlight w:val="none"/>
              </w:rPr>
            </w:pPr>
            <w:r>
              <w:rPr>
                <w:rFonts w:hint="eastAsia" w:hAnsi="宋体"/>
                <w:b/>
                <w:color w:val="auto"/>
                <w:sz w:val="28"/>
                <w:highlight w:val="none"/>
              </w:rPr>
              <w:t>采购代理机构：</w:t>
            </w:r>
          </w:p>
        </w:tc>
        <w:tc>
          <w:tcPr>
            <w:tcW w:w="3698" w:type="pct"/>
          </w:tcPr>
          <w:p>
            <w:pPr>
              <w:widowControl/>
              <w:spacing w:line="500" w:lineRule="exact"/>
              <w:jc w:val="both"/>
              <w:textAlignment w:val="bottom"/>
              <w:rPr>
                <w:rFonts w:hAnsi="宋体"/>
                <w:b/>
                <w:color w:val="auto"/>
                <w:sz w:val="28"/>
                <w:highlight w:val="none"/>
              </w:rPr>
            </w:pPr>
            <w:r>
              <w:rPr>
                <w:rFonts w:hint="eastAsia" w:hAnsi="宋体"/>
                <w:b/>
                <w:color w:val="auto"/>
                <w:sz w:val="28"/>
                <w:highlight w:val="none"/>
              </w:rPr>
              <w:t>广东中科招标有限公司</w:t>
            </w:r>
          </w:p>
        </w:tc>
      </w:tr>
    </w:tbl>
    <w:p>
      <w:pPr>
        <w:widowControl/>
        <w:spacing w:line="360" w:lineRule="auto"/>
        <w:ind w:right="-26"/>
        <w:jc w:val="center"/>
        <w:textAlignment w:val="bottom"/>
        <w:rPr>
          <w:rFonts w:hAnsi="宋体"/>
          <w:b/>
          <w:color w:val="auto"/>
          <w:sz w:val="32"/>
          <w:highlight w:val="none"/>
        </w:rPr>
      </w:pPr>
    </w:p>
    <w:p>
      <w:pPr>
        <w:widowControl/>
        <w:spacing w:line="360" w:lineRule="auto"/>
        <w:ind w:right="-26"/>
        <w:jc w:val="both"/>
        <w:textAlignment w:val="bottom"/>
        <w:rPr>
          <w:rFonts w:hAnsi="宋体"/>
          <w:b/>
          <w:color w:val="auto"/>
          <w:sz w:val="32"/>
          <w:highlight w:val="none"/>
        </w:rPr>
      </w:pPr>
    </w:p>
    <w:p>
      <w:pPr>
        <w:widowControl/>
        <w:spacing w:line="360" w:lineRule="auto"/>
        <w:ind w:right="-26"/>
        <w:jc w:val="center"/>
        <w:textAlignment w:val="bottom"/>
        <w:rPr>
          <w:rFonts w:hAnsi="宋体"/>
          <w:b/>
          <w:color w:val="auto"/>
          <w:sz w:val="32"/>
          <w:highlight w:val="none"/>
        </w:rPr>
      </w:pPr>
      <w:r>
        <w:rPr>
          <w:rFonts w:hAnsi="宋体"/>
          <w:b/>
          <w:color w:val="auto"/>
          <w:sz w:val="32"/>
          <w:highlight w:val="none"/>
        </w:rPr>
        <w:t>202</w:t>
      </w:r>
      <w:r>
        <w:rPr>
          <w:rFonts w:hint="eastAsia" w:hAnsi="宋体"/>
          <w:b/>
          <w:color w:val="auto"/>
          <w:sz w:val="32"/>
          <w:highlight w:val="none"/>
        </w:rPr>
        <w:t>4年6月</w:t>
      </w:r>
    </w:p>
    <w:p>
      <w:pPr>
        <w:rPr>
          <w:color w:val="auto"/>
          <w:highlight w:val="none"/>
        </w:rPr>
      </w:pPr>
      <w:r>
        <w:rPr>
          <w:rFonts w:hint="eastAsia" w:hAnsi="宋体"/>
          <w:b/>
          <w:color w:val="auto"/>
          <w:sz w:val="32"/>
          <w:highlight w:val="none"/>
        </w:rPr>
        <w:br w:type="page"/>
      </w:r>
    </w:p>
    <w:p>
      <w:pPr>
        <w:jc w:val="center"/>
        <w:rPr>
          <w:rFonts w:hAnsi="宋体"/>
          <w:color w:val="auto"/>
          <w:highlight w:val="none"/>
        </w:rPr>
      </w:pPr>
      <w:r>
        <w:rPr>
          <w:rFonts w:hAnsi="宋体"/>
          <w:b/>
          <w:bCs/>
          <w:color w:val="auto"/>
          <w:highlight w:val="none"/>
          <w:lang w:val="zh-CN"/>
        </w:rPr>
        <w:t>目</w:t>
      </w:r>
      <w:r>
        <w:rPr>
          <w:rFonts w:hint="eastAsia" w:hAnsi="宋体"/>
          <w:b/>
          <w:bCs/>
          <w:color w:val="auto"/>
          <w:highlight w:val="none"/>
          <w:lang w:val="zh-CN"/>
        </w:rPr>
        <w:t xml:space="preserve">   </w:t>
      </w:r>
      <w:r>
        <w:rPr>
          <w:rFonts w:hAnsi="宋体"/>
          <w:b/>
          <w:bCs/>
          <w:color w:val="auto"/>
          <w:highlight w:val="none"/>
          <w:lang w:val="zh-CN"/>
        </w:rPr>
        <w:t>录</w:t>
      </w:r>
    </w:p>
    <w:p>
      <w:pPr>
        <w:pStyle w:val="33"/>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bookmarkStart w:id="0" w:name="_Toc396137229"/>
      <w:r>
        <w:rPr>
          <w:rStyle w:val="55"/>
          <w:rFonts w:hint="eastAsia" w:ascii="宋体" w:hAnsi="宋体" w:eastAsia="宋体" w:cs="宋体"/>
          <w:i w:val="0"/>
          <w:iCs w:val="0"/>
          <w:caps w:val="0"/>
          <w:color w:val="auto"/>
          <w:sz w:val="21"/>
          <w:szCs w:val="21"/>
          <w:highlight w:val="none"/>
          <w:u w:val="none"/>
        </w:rPr>
        <w:fldChar w:fldCharType="begin"/>
      </w:r>
      <w:r>
        <w:rPr>
          <w:rStyle w:val="55"/>
          <w:rFonts w:hint="eastAsia" w:ascii="宋体" w:hAnsi="宋体" w:eastAsia="宋体" w:cs="宋体"/>
          <w:b w:val="0"/>
          <w:i w:val="0"/>
          <w:iCs w:val="0"/>
          <w:caps w:val="0"/>
          <w:color w:val="auto"/>
          <w:sz w:val="21"/>
          <w:szCs w:val="21"/>
          <w:highlight w:val="none"/>
          <w:u w:val="none"/>
        </w:rPr>
        <w:instrText xml:space="preserve"> TOC \o "1-3" \h \z \u </w:instrText>
      </w:r>
      <w:r>
        <w:rPr>
          <w:rStyle w:val="55"/>
          <w:rFonts w:hint="eastAsia" w:ascii="宋体" w:hAnsi="宋体" w:eastAsia="宋体" w:cs="宋体"/>
          <w:i w:val="0"/>
          <w:iCs w:val="0"/>
          <w:caps w:val="0"/>
          <w:color w:val="auto"/>
          <w:sz w:val="21"/>
          <w:szCs w:val="21"/>
          <w:highlight w:val="none"/>
          <w:u w:val="none"/>
        </w:rPr>
        <w:fldChar w:fldCharType="separate"/>
      </w:r>
      <w:r>
        <w:rPr>
          <w:rFonts w:hint="eastAsia" w:ascii="宋体" w:hAnsi="宋体" w:eastAsia="宋体" w:cs="宋体"/>
          <w:i w:val="0"/>
          <w:iCs w:val="0"/>
          <w:caps w:val="0"/>
          <w:color w:val="auto"/>
          <w:sz w:val="21"/>
          <w:szCs w:val="21"/>
          <w:highlight w:val="none"/>
          <w:u w:val="none"/>
        </w:rPr>
        <w:fldChar w:fldCharType="begin"/>
      </w:r>
      <w:r>
        <w:rPr>
          <w:rFonts w:hint="eastAsia" w:ascii="宋体" w:hAnsi="宋体" w:eastAsia="宋体" w:cs="宋体"/>
          <w:i w:val="0"/>
          <w:iCs w:val="0"/>
          <w:caps w:val="0"/>
          <w:color w:val="auto"/>
          <w:sz w:val="21"/>
          <w:szCs w:val="21"/>
          <w:highlight w:val="none"/>
        </w:rPr>
        <w:instrText xml:space="preserve"> HYPERLINK \l _Toc23242 </w:instrText>
      </w:r>
      <w:r>
        <w:rPr>
          <w:rFonts w:hint="eastAsia" w:ascii="宋体" w:hAnsi="宋体" w:eastAsia="宋体" w:cs="宋体"/>
          <w:i w:val="0"/>
          <w:iCs w:val="0"/>
          <w:caps w:val="0"/>
          <w:color w:val="auto"/>
          <w:sz w:val="21"/>
          <w:szCs w:val="21"/>
          <w:highlight w:val="none"/>
        </w:rPr>
        <w:fldChar w:fldCharType="separate"/>
      </w:r>
      <w:r>
        <w:rPr>
          <w:rFonts w:hint="eastAsia" w:ascii="宋体" w:hAnsi="宋体" w:eastAsia="宋体" w:cs="宋体"/>
          <w:bCs/>
          <w:i w:val="0"/>
          <w:iCs w:val="0"/>
          <w:color w:val="auto"/>
          <w:kern w:val="44"/>
          <w:sz w:val="21"/>
          <w:szCs w:val="21"/>
          <w:highlight w:val="none"/>
          <w:lang w:val="zh-CN"/>
        </w:rPr>
        <w:t xml:space="preserve">第一篇 </w:t>
      </w:r>
      <w:r>
        <w:rPr>
          <w:rFonts w:hint="eastAsia" w:ascii="宋体" w:hAnsi="宋体" w:eastAsia="宋体" w:cs="宋体"/>
          <w:bCs/>
          <w:i w:val="0"/>
          <w:iCs w:val="0"/>
          <w:caps/>
          <w:color w:val="auto"/>
          <w:sz w:val="21"/>
          <w:szCs w:val="21"/>
          <w:highlight w:val="none"/>
        </w:rPr>
        <w:t xml:space="preserve"> </w:t>
      </w:r>
      <w:r>
        <w:rPr>
          <w:rFonts w:hint="eastAsia" w:ascii="宋体" w:hAnsi="宋体" w:eastAsia="宋体" w:cs="宋体"/>
          <w:bCs/>
          <w:i w:val="0"/>
          <w:iCs w:val="0"/>
          <w:color w:val="auto"/>
          <w:kern w:val="44"/>
          <w:sz w:val="21"/>
          <w:szCs w:val="21"/>
          <w:highlight w:val="none"/>
          <w:lang w:val="zh-CN"/>
        </w:rPr>
        <w:t>磋商邀请书</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_Toc23242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3</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i w:val="0"/>
          <w:iCs w:val="0"/>
          <w:caps w:val="0"/>
          <w:color w:val="auto"/>
          <w:sz w:val="21"/>
          <w:szCs w:val="21"/>
          <w:highlight w:val="none"/>
          <w:u w:val="none"/>
        </w:rPr>
        <w:fldChar w:fldCharType="end"/>
      </w:r>
    </w:p>
    <w:p>
      <w:pPr>
        <w:pStyle w:val="40"/>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_Toc19970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bCs/>
          <w:i w:val="0"/>
          <w:iCs w:val="0"/>
          <w:color w:val="auto"/>
          <w:sz w:val="21"/>
          <w:szCs w:val="21"/>
          <w:highlight w:val="none"/>
        </w:rPr>
        <w:t>一、项目概述：</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_Toc19970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3</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40"/>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_Toc4501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bCs/>
          <w:i w:val="0"/>
          <w:iCs w:val="0"/>
          <w:color w:val="auto"/>
          <w:sz w:val="21"/>
          <w:szCs w:val="21"/>
          <w:highlight w:val="none"/>
        </w:rPr>
        <w:t>二、供应商的资格要求：</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_Toc4501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3</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40"/>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_Toc15001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bCs/>
          <w:i w:val="0"/>
          <w:iCs w:val="0"/>
          <w:color w:val="auto"/>
          <w:sz w:val="21"/>
          <w:szCs w:val="21"/>
          <w:highlight w:val="none"/>
        </w:rPr>
        <w:t>三、获取磋商文件：</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_Toc15001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5</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40"/>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_Toc16905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bCs/>
          <w:i w:val="0"/>
          <w:iCs w:val="0"/>
          <w:color w:val="auto"/>
          <w:sz w:val="21"/>
          <w:szCs w:val="21"/>
          <w:highlight w:val="none"/>
        </w:rPr>
        <w:t>四、提交响应文件截止时间、开标时间和地点：</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_Toc16905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5</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40"/>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_Toc19249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bCs/>
          <w:i w:val="0"/>
          <w:iCs w:val="0"/>
          <w:color w:val="auto"/>
          <w:sz w:val="21"/>
          <w:szCs w:val="21"/>
          <w:highlight w:val="none"/>
        </w:rPr>
        <w:t>五、公告期限、发布公告的媒介：</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_Toc19249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5</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40"/>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_Toc7296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bCs/>
          <w:i w:val="0"/>
          <w:iCs w:val="0"/>
          <w:color w:val="auto"/>
          <w:sz w:val="21"/>
          <w:szCs w:val="21"/>
          <w:highlight w:val="none"/>
        </w:rPr>
        <w:t>六、其他补充事宜：</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_Toc7296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5</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40"/>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_Toc16564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bCs/>
          <w:i w:val="0"/>
          <w:iCs w:val="0"/>
          <w:color w:val="auto"/>
          <w:sz w:val="21"/>
          <w:szCs w:val="21"/>
          <w:highlight w:val="none"/>
        </w:rPr>
        <w:t>七、对本次招标提出询问，请按以下方式联系：</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_Toc16564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5</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33"/>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_Toc12386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 xml:space="preserve">第二篇 </w:t>
      </w:r>
      <w:r>
        <w:rPr>
          <w:rFonts w:hint="eastAsia" w:ascii="宋体" w:hAnsi="宋体" w:eastAsia="宋体" w:cs="宋体"/>
          <w:bCs/>
          <w:i w:val="0"/>
          <w:iCs w:val="0"/>
          <w:color w:val="auto"/>
          <w:kern w:val="44"/>
          <w:sz w:val="21"/>
          <w:szCs w:val="21"/>
          <w:highlight w:val="none"/>
          <w:lang w:val="zh-CN"/>
        </w:rPr>
        <w:t>采购需求书</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_Toc12386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6</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40"/>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_Toc7782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bCs/>
          <w:i w:val="0"/>
          <w:iCs w:val="0"/>
          <w:color w:val="auto"/>
          <w:kern w:val="2"/>
          <w:sz w:val="21"/>
          <w:szCs w:val="21"/>
          <w:highlight w:val="none"/>
        </w:rPr>
        <w:t>一、 主要商务要求</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_Toc7782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6</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40"/>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_Toc26466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bCs/>
          <w:i w:val="0"/>
          <w:iCs w:val="0"/>
          <w:color w:val="auto"/>
          <w:kern w:val="2"/>
          <w:sz w:val="21"/>
          <w:szCs w:val="21"/>
          <w:highlight w:val="none"/>
        </w:rPr>
        <w:t>二、 项目概况</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_Toc26466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7</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40"/>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_Toc13506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bCs/>
          <w:i w:val="0"/>
          <w:iCs w:val="0"/>
          <w:color w:val="auto"/>
          <w:kern w:val="2"/>
          <w:sz w:val="21"/>
          <w:szCs w:val="21"/>
          <w:highlight w:val="none"/>
        </w:rPr>
        <w:t>三、 服务内容</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_Toc13506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8</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40"/>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_Toc28505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bCs/>
          <w:i w:val="0"/>
          <w:iCs w:val="0"/>
          <w:color w:val="auto"/>
          <w:kern w:val="2"/>
          <w:sz w:val="21"/>
          <w:szCs w:val="21"/>
          <w:highlight w:val="none"/>
        </w:rPr>
        <w:t>四、 设计要求</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_Toc28505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9</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40"/>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_Toc17505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bCs/>
          <w:i w:val="0"/>
          <w:iCs w:val="0"/>
          <w:color w:val="auto"/>
          <w:kern w:val="2"/>
          <w:sz w:val="21"/>
          <w:szCs w:val="21"/>
          <w:highlight w:val="none"/>
        </w:rPr>
        <w:t>五、 服务期限</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_Toc17505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12</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40"/>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_Toc12307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bCs/>
          <w:i w:val="0"/>
          <w:iCs w:val="0"/>
          <w:color w:val="auto"/>
          <w:kern w:val="2"/>
          <w:sz w:val="21"/>
          <w:szCs w:val="21"/>
          <w:highlight w:val="none"/>
        </w:rPr>
        <w:t>六、 工作周期</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_Toc12307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12</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40"/>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_Toc270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bCs/>
          <w:i w:val="0"/>
          <w:iCs w:val="0"/>
          <w:color w:val="auto"/>
          <w:kern w:val="2"/>
          <w:sz w:val="21"/>
          <w:szCs w:val="21"/>
          <w:highlight w:val="none"/>
        </w:rPr>
        <w:t>七、 成果要求</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_Toc270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12</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33"/>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_Toc5275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bCs/>
          <w:i w:val="0"/>
          <w:iCs w:val="0"/>
          <w:color w:val="auto"/>
          <w:kern w:val="44"/>
          <w:sz w:val="21"/>
          <w:szCs w:val="21"/>
          <w:highlight w:val="none"/>
          <w:lang w:val="zh-CN"/>
        </w:rPr>
        <w:t>第三篇 供应商须知</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_Toc5275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14</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40"/>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_Toc15979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bCs/>
          <w:i w:val="0"/>
          <w:iCs w:val="0"/>
          <w:color w:val="auto"/>
          <w:kern w:val="44"/>
          <w:sz w:val="21"/>
          <w:szCs w:val="21"/>
          <w:highlight w:val="none"/>
          <w:lang w:val="zh-CN"/>
        </w:rPr>
        <w:t xml:space="preserve">一、 </w:t>
      </w:r>
      <w:r>
        <w:rPr>
          <w:rFonts w:hint="eastAsia" w:ascii="宋体" w:hAnsi="宋体" w:eastAsia="宋体" w:cs="宋体"/>
          <w:bCs/>
          <w:i w:val="0"/>
          <w:iCs w:val="0"/>
          <w:color w:val="auto"/>
          <w:kern w:val="44"/>
          <w:sz w:val="21"/>
          <w:szCs w:val="21"/>
          <w:highlight w:val="none"/>
        </w:rPr>
        <w:t>名词解释</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_Toc15979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14</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40"/>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_Toc27585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bCs/>
          <w:i w:val="0"/>
          <w:iCs w:val="0"/>
          <w:color w:val="auto"/>
          <w:kern w:val="44"/>
          <w:sz w:val="21"/>
          <w:szCs w:val="21"/>
          <w:highlight w:val="none"/>
          <w:lang w:val="zh-CN"/>
        </w:rPr>
        <w:t>二、 须知前附表</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_Toc27585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14</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40"/>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_Toc6874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bCs/>
          <w:i w:val="0"/>
          <w:iCs w:val="0"/>
          <w:color w:val="auto"/>
          <w:kern w:val="44"/>
          <w:sz w:val="21"/>
          <w:szCs w:val="21"/>
          <w:highlight w:val="none"/>
          <w:lang w:val="zh-CN"/>
        </w:rPr>
        <w:t>三、 供应商须知</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_Toc6874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16</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_Toc495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bCs/>
          <w:i w:val="0"/>
          <w:iCs w:val="0"/>
          <w:color w:val="auto"/>
          <w:kern w:val="44"/>
          <w:sz w:val="21"/>
          <w:szCs w:val="21"/>
          <w:highlight w:val="none"/>
          <w:lang w:val="zh-CN"/>
        </w:rPr>
        <w:t>（一）总则</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_Toc495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16</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_Toc25218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kern w:val="2"/>
          <w:sz w:val="21"/>
          <w:szCs w:val="21"/>
          <w:highlight w:val="none"/>
          <w:lang w:val="zh-CN"/>
        </w:rPr>
        <w:t>（二）磋商文件</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_Toc25218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20</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_Toc26248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bCs/>
          <w:i w:val="0"/>
          <w:iCs w:val="0"/>
          <w:color w:val="auto"/>
          <w:kern w:val="44"/>
          <w:sz w:val="21"/>
          <w:szCs w:val="21"/>
          <w:highlight w:val="none"/>
          <w:lang w:val="zh-CN"/>
        </w:rPr>
        <w:t>（三）响应文件的编制</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_Toc26248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21</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_Toc29607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bCs/>
          <w:i w:val="0"/>
          <w:iCs w:val="0"/>
          <w:color w:val="auto"/>
          <w:kern w:val="44"/>
          <w:sz w:val="21"/>
          <w:szCs w:val="21"/>
          <w:highlight w:val="none"/>
          <w:lang w:val="zh-CN"/>
        </w:rPr>
        <w:t>（四）响应文件的提交</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_Toc29607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26</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_Toc8553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bCs/>
          <w:i w:val="0"/>
          <w:iCs w:val="0"/>
          <w:color w:val="auto"/>
          <w:kern w:val="44"/>
          <w:sz w:val="21"/>
          <w:szCs w:val="21"/>
          <w:highlight w:val="none"/>
          <w:lang w:val="zh-CN"/>
        </w:rPr>
        <w:t>（五）开标和评标</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_Toc8553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26</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_Toc30390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bCs/>
          <w:i w:val="0"/>
          <w:iCs w:val="0"/>
          <w:color w:val="auto"/>
          <w:kern w:val="44"/>
          <w:sz w:val="21"/>
          <w:szCs w:val="21"/>
          <w:highlight w:val="none"/>
          <w:lang w:val="zh-CN"/>
        </w:rPr>
        <w:t>（六）成交和合同</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_Toc30390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28</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_Toc322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bCs/>
          <w:i w:val="0"/>
          <w:iCs w:val="0"/>
          <w:color w:val="auto"/>
          <w:kern w:val="44"/>
          <w:sz w:val="21"/>
          <w:szCs w:val="21"/>
          <w:highlight w:val="none"/>
          <w:lang w:val="zh-CN"/>
        </w:rPr>
        <w:t>（七）询问、质疑和投诉</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_Toc322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31</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33"/>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_Toc4016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lang w:val="zh-CN"/>
        </w:rPr>
        <w:t xml:space="preserve">第四篇 </w:t>
      </w:r>
      <w:r>
        <w:rPr>
          <w:rFonts w:hint="eastAsia" w:ascii="宋体" w:hAnsi="宋体" w:eastAsia="宋体" w:cs="宋体"/>
          <w:bCs/>
          <w:i w:val="0"/>
          <w:iCs w:val="0"/>
          <w:color w:val="auto"/>
          <w:kern w:val="44"/>
          <w:sz w:val="21"/>
          <w:szCs w:val="21"/>
          <w:highlight w:val="none"/>
          <w:lang w:val="zh-CN"/>
        </w:rPr>
        <w:t>评标工作大纲</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_Toc4016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33</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40"/>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_Toc12768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一、评标原则和方法</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_Toc12768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33</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40"/>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_Toc7123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二、评标程序</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_Toc7123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33</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40"/>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_Toc417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三、评分标准和细则</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_Toc417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39</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33"/>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_Toc26040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bCs/>
          <w:i w:val="0"/>
          <w:iCs w:val="0"/>
          <w:color w:val="auto"/>
          <w:kern w:val="44"/>
          <w:sz w:val="21"/>
          <w:szCs w:val="21"/>
          <w:highlight w:val="none"/>
          <w:lang w:val="zh-CN"/>
        </w:rPr>
        <w:t>第五篇 合同条款格式</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_Toc26040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44</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33"/>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_Toc14243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bCs/>
          <w:i w:val="0"/>
          <w:iCs w:val="0"/>
          <w:color w:val="auto"/>
          <w:kern w:val="44"/>
          <w:sz w:val="21"/>
          <w:szCs w:val="21"/>
          <w:highlight w:val="none"/>
          <w:lang w:val="zh-CN"/>
        </w:rPr>
        <w:t>第六篇 响应文件格式</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_Toc14243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- 51 -</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40"/>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_Toc19264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第一节 商务文件</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_Toc19264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- 53 -</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_Toc10363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一、 投标函</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_Toc10363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- 53 -</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_Toc27653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 xml:space="preserve">二、 </w:t>
      </w:r>
      <w:r>
        <w:rPr>
          <w:rFonts w:hint="eastAsia" w:ascii="宋体" w:hAnsi="宋体" w:eastAsia="宋体" w:cs="宋体"/>
          <w:i w:val="0"/>
          <w:iCs w:val="0"/>
          <w:color w:val="auto"/>
          <w:sz w:val="21"/>
          <w:szCs w:val="21"/>
          <w:highlight w:val="none"/>
          <w:lang w:eastAsia="zh-CN"/>
        </w:rPr>
        <w:t>首次报价表</w:t>
      </w:r>
      <w:r>
        <w:rPr>
          <w:rFonts w:hint="eastAsia" w:ascii="宋体" w:hAnsi="宋体" w:eastAsia="宋体" w:cs="宋体"/>
          <w:i w:val="0"/>
          <w:iCs w:val="0"/>
          <w:color w:val="auto"/>
          <w:sz w:val="21"/>
          <w:szCs w:val="21"/>
          <w:highlight w:val="none"/>
        </w:rPr>
        <w:t>（开标一览表）</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_Toc27653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- 55 -</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_Toc25960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 xml:space="preserve">三、 </w:t>
      </w:r>
      <w:r>
        <w:rPr>
          <w:rFonts w:hint="eastAsia" w:ascii="宋体" w:hAnsi="宋体" w:eastAsia="宋体" w:cs="宋体"/>
          <w:bCs/>
          <w:i w:val="0"/>
          <w:iCs w:val="0"/>
          <w:color w:val="auto"/>
          <w:sz w:val="21"/>
          <w:szCs w:val="21"/>
          <w:highlight w:val="none"/>
        </w:rPr>
        <w:t>投标分项报价表</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_Toc25960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- 56 -</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_Toc27687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四、 政策适用性说明</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_Toc27687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- 57 -</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_Toc612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五、 法定代表人身份证明书</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_Toc612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- 58 -</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_Toc30381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六、 法定代表人授权委托书</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_Toc30381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- 59 -</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_Toc4485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七、 投标保证金汇入情况说明（本项目不适用）</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_Toc4485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- 60 -</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_Toc17366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八、 提供具有独立承担民事责任的能力的证明材料</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_Toc17366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- 61 -</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_Toc9858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九、 资格性审查要求的其他资质证明文件</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_Toc9858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- 62 -</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_Toc19216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十、 中小企业声明函(可选)</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_Toc19216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- 65 -</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_Toc2915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十一、 监狱企业(可选)</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_Toc2915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- 66 -</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_Toc17766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十二、 残疾人福利性单位声明函(可选)</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_Toc17766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- 67 -</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_Toc22429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十三、 联合体共同响应协议书(可选)</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_Toc22429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- 68 -</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_Toc3238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十四、 供应商业绩情况表</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_Toc3238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- 69 -</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_Toc25903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十五、 技术和服务要求响应表</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_Toc25903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- 70 -</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_Toc1178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十六、 商务条件响应表</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_Toc1178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- 71 -</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_Toc15222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十七、 投标承诺书</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_Toc15222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- 72 -</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_Toc26363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十八、 供应商基本情况</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_Toc26363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- 73 -</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_Toc1490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十九、 合同条款偏离表</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_Toc1490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- 74 -</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_Toc20489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二十、 招标代理服务费承诺书</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_Toc20489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- 75 -</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_Toc7258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二十一、 其他资料</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_Toc7258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- 76 -</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40"/>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_Toc6391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第二节 技术文件</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_Toc6391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- 77 -</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_Toc5924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一、 投标方案</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_Toc5924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- 77 -</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_Toc13952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二、 拟安排本项目技术人员情况表</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_Toc13952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- 78 -</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5"/>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_Toc26870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三、 其他资料</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_Toc26870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- 79 -</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40"/>
        <w:widowControl w:val="0"/>
        <w:tabs>
          <w:tab w:val="right" w:leader="dot" w:pos="8306"/>
        </w:tabs>
        <w:kinsoku/>
        <w:wordWrap/>
        <w:overflowPunct/>
        <w:topLinePunct w:val="0"/>
        <w:autoSpaceDE w:val="0"/>
        <w:autoSpaceDN w:val="0"/>
        <w:bidi w:val="0"/>
        <w:adjustRightInd w:val="0"/>
        <w:snapToGrid/>
        <w:spacing w:line="288" w:lineRule="auto"/>
        <w:textAlignment w:val="auto"/>
        <w:rPr>
          <w:rFonts w:hint="eastAsia" w:ascii="宋体" w:hAnsi="宋体" w:eastAsia="宋体" w:cs="宋体"/>
          <w:i w:val="0"/>
          <w:iCs w:val="0"/>
          <w:color w:val="auto"/>
          <w:sz w:val="21"/>
          <w:szCs w:val="21"/>
          <w:highlight w:val="none"/>
        </w:rPr>
      </w:pPr>
      <w:r>
        <w:rPr>
          <w:rFonts w:hint="eastAsia" w:ascii="宋体" w:hAnsi="宋体" w:eastAsia="宋体" w:cs="宋体"/>
          <w:bCs/>
          <w:i w:val="0"/>
          <w:iCs w:val="0"/>
          <w:caps/>
          <w:color w:val="auto"/>
          <w:sz w:val="21"/>
          <w:szCs w:val="21"/>
          <w:highlight w:val="none"/>
        </w:rPr>
        <w:fldChar w:fldCharType="begin"/>
      </w:r>
      <w:r>
        <w:rPr>
          <w:rFonts w:hint="eastAsia" w:ascii="宋体" w:hAnsi="宋体" w:eastAsia="宋体" w:cs="宋体"/>
          <w:bCs/>
          <w:i w:val="0"/>
          <w:iCs w:val="0"/>
          <w:caps/>
          <w:color w:val="auto"/>
          <w:sz w:val="21"/>
          <w:szCs w:val="21"/>
          <w:highlight w:val="none"/>
        </w:rPr>
        <w:instrText xml:space="preserve"> HYPERLINK \l _Toc17763 </w:instrText>
      </w:r>
      <w:r>
        <w:rPr>
          <w:rFonts w:hint="eastAsia" w:ascii="宋体" w:hAnsi="宋体" w:eastAsia="宋体" w:cs="宋体"/>
          <w:bCs/>
          <w:i w:val="0"/>
          <w:iCs w:val="0"/>
          <w:caps/>
          <w:color w:val="auto"/>
          <w:sz w:val="21"/>
          <w:szCs w:val="21"/>
          <w:highlight w:val="none"/>
        </w:rPr>
        <w:fldChar w:fldCharType="separate"/>
      </w:r>
      <w:r>
        <w:rPr>
          <w:rFonts w:hint="eastAsia" w:ascii="宋体" w:hAnsi="宋体" w:eastAsia="宋体" w:cs="宋体"/>
          <w:i w:val="0"/>
          <w:iCs w:val="0"/>
          <w:color w:val="auto"/>
          <w:sz w:val="21"/>
          <w:szCs w:val="21"/>
          <w:highlight w:val="none"/>
        </w:rPr>
        <w:t>第三节 报价信封（单独封装）</w:t>
      </w:r>
      <w:r>
        <w:rPr>
          <w:rFonts w:hint="eastAsia" w:ascii="宋体" w:hAnsi="宋体" w:eastAsia="宋体" w:cs="宋体"/>
          <w:i w:val="0"/>
          <w:iCs w:val="0"/>
          <w:color w:val="auto"/>
          <w:sz w:val="21"/>
          <w:szCs w:val="21"/>
          <w:highlight w:val="none"/>
        </w:rPr>
        <w:tab/>
      </w:r>
      <w:r>
        <w:rPr>
          <w:rFonts w:hint="eastAsia" w:ascii="宋体" w:hAnsi="宋体" w:eastAsia="宋体" w:cs="宋体"/>
          <w:i w:val="0"/>
          <w:iCs w:val="0"/>
          <w:color w:val="auto"/>
          <w:sz w:val="21"/>
          <w:szCs w:val="21"/>
          <w:highlight w:val="none"/>
        </w:rPr>
        <w:fldChar w:fldCharType="begin"/>
      </w:r>
      <w:r>
        <w:rPr>
          <w:rFonts w:hint="eastAsia" w:ascii="宋体" w:hAnsi="宋体" w:eastAsia="宋体" w:cs="宋体"/>
          <w:i w:val="0"/>
          <w:iCs w:val="0"/>
          <w:color w:val="auto"/>
          <w:sz w:val="21"/>
          <w:szCs w:val="21"/>
          <w:highlight w:val="none"/>
        </w:rPr>
        <w:instrText xml:space="preserve"> PAGEREF _Toc17763 \h </w:instrText>
      </w:r>
      <w:r>
        <w:rPr>
          <w:rFonts w:hint="eastAsia" w:ascii="宋体" w:hAnsi="宋体" w:eastAsia="宋体" w:cs="宋体"/>
          <w:i w:val="0"/>
          <w:iCs w:val="0"/>
          <w:color w:val="auto"/>
          <w:sz w:val="21"/>
          <w:szCs w:val="21"/>
          <w:highlight w:val="none"/>
        </w:rPr>
        <w:fldChar w:fldCharType="separate"/>
      </w:r>
      <w:r>
        <w:rPr>
          <w:rFonts w:hint="eastAsia" w:ascii="宋体" w:hAnsi="宋体" w:eastAsia="宋体" w:cs="宋体"/>
          <w:i w:val="0"/>
          <w:iCs w:val="0"/>
          <w:color w:val="auto"/>
          <w:sz w:val="21"/>
          <w:szCs w:val="21"/>
          <w:highlight w:val="none"/>
        </w:rPr>
        <w:t>- 80 -</w:t>
      </w:r>
      <w:r>
        <w:rPr>
          <w:rFonts w:hint="eastAsia" w:ascii="宋体" w:hAnsi="宋体" w:eastAsia="宋体" w:cs="宋体"/>
          <w:i w:val="0"/>
          <w:iCs w:val="0"/>
          <w:color w:val="auto"/>
          <w:sz w:val="21"/>
          <w:szCs w:val="21"/>
          <w:highlight w:val="none"/>
        </w:rPr>
        <w:fldChar w:fldCharType="end"/>
      </w:r>
      <w:r>
        <w:rPr>
          <w:rFonts w:hint="eastAsia" w:ascii="宋体" w:hAnsi="宋体" w:eastAsia="宋体" w:cs="宋体"/>
          <w:bCs/>
          <w:i w:val="0"/>
          <w:iCs w:val="0"/>
          <w:caps/>
          <w:color w:val="auto"/>
          <w:sz w:val="21"/>
          <w:szCs w:val="21"/>
          <w:highlight w:val="none"/>
        </w:rPr>
        <w:fldChar w:fldCharType="end"/>
      </w:r>
    </w:p>
    <w:p>
      <w:pPr>
        <w:pStyle w:val="2"/>
        <w:keepNext/>
        <w:keepLines/>
        <w:pageBreakBefore/>
        <w:widowControl w:val="0"/>
        <w:numPr>
          <w:ilvl w:val="0"/>
          <w:numId w:val="7"/>
        </w:numPr>
        <w:tabs>
          <w:tab w:val="left" w:pos="1080"/>
        </w:tabs>
        <w:kinsoku/>
        <w:wordWrap/>
        <w:overflowPunct/>
        <w:topLinePunct w:val="0"/>
        <w:autoSpaceDE w:val="0"/>
        <w:autoSpaceDN w:val="0"/>
        <w:bidi w:val="0"/>
        <w:adjustRightInd w:val="0"/>
        <w:snapToGrid/>
        <w:spacing w:line="288" w:lineRule="auto"/>
        <w:ind w:left="943" w:hanging="942" w:hangingChars="449"/>
        <w:contextualSpacing/>
        <w:jc w:val="center"/>
        <w:textAlignment w:val="auto"/>
        <w:rPr>
          <w:rFonts w:hAnsi="宋体"/>
          <w:b/>
          <w:bCs/>
          <w:color w:val="auto"/>
          <w:kern w:val="44"/>
          <w:sz w:val="28"/>
          <w:szCs w:val="28"/>
          <w:highlight w:val="none"/>
          <w:lang w:val="zh-CN"/>
        </w:rPr>
      </w:pPr>
      <w:r>
        <w:rPr>
          <w:rFonts w:hint="eastAsia" w:ascii="宋体" w:hAnsi="宋体" w:eastAsia="宋体" w:cs="宋体"/>
          <w:bCs/>
          <w:i w:val="0"/>
          <w:iCs w:val="0"/>
          <w:caps/>
          <w:color w:val="auto"/>
          <w:sz w:val="21"/>
          <w:szCs w:val="21"/>
          <w:highlight w:val="none"/>
        </w:rPr>
        <w:fldChar w:fldCharType="end"/>
      </w:r>
      <w:bookmarkStart w:id="1" w:name="_Toc23242"/>
      <w:r>
        <w:rPr>
          <w:rFonts w:hint="eastAsia" w:cs="Calibri" w:asciiTheme="minorEastAsia" w:hAnsiTheme="minorEastAsia" w:eastAsiaTheme="minorEastAsia"/>
          <w:bCs/>
          <w:caps/>
          <w:color w:val="auto"/>
          <w:sz w:val="18"/>
          <w:szCs w:val="18"/>
          <w:highlight w:val="none"/>
        </w:rPr>
        <w:t xml:space="preserve"> </w:t>
      </w:r>
      <w:r>
        <w:rPr>
          <w:rFonts w:hint="eastAsia" w:hAnsi="宋体"/>
          <w:b/>
          <w:bCs/>
          <w:color w:val="auto"/>
          <w:kern w:val="44"/>
          <w:sz w:val="28"/>
          <w:szCs w:val="28"/>
          <w:highlight w:val="none"/>
          <w:lang w:val="zh-CN"/>
        </w:rPr>
        <w:t>磋商邀请书</w:t>
      </w:r>
      <w:bookmarkEnd w:id="0"/>
      <w:bookmarkEnd w:id="1"/>
    </w:p>
    <w:p>
      <w:pPr>
        <w:widowControl/>
        <w:tabs>
          <w:tab w:val="left" w:pos="-360"/>
        </w:tabs>
        <w:adjustRightInd/>
        <w:spacing w:line="360" w:lineRule="auto"/>
        <w:ind w:right="-34" w:firstLine="420" w:firstLineChars="200"/>
        <w:contextualSpacing/>
        <w:jc w:val="both"/>
        <w:textAlignment w:val="bottom"/>
        <w:rPr>
          <w:rFonts w:hAnsi="宋体"/>
          <w:color w:val="auto"/>
          <w:sz w:val="21"/>
          <w:szCs w:val="21"/>
          <w:highlight w:val="none"/>
        </w:rPr>
      </w:pPr>
      <w:bookmarkStart w:id="2" w:name="_Hlk42073157"/>
      <w:r>
        <w:rPr>
          <w:rFonts w:hint="eastAsia" w:hAnsi="宋体"/>
          <w:color w:val="auto"/>
          <w:sz w:val="21"/>
          <w:szCs w:val="21"/>
          <w:highlight w:val="none"/>
          <w:u w:val="single"/>
        </w:rPr>
        <w:t>广东中科招标有限公司</w:t>
      </w:r>
      <w:r>
        <w:rPr>
          <w:rFonts w:hint="eastAsia" w:hAnsi="宋体"/>
          <w:color w:val="auto"/>
          <w:sz w:val="21"/>
          <w:szCs w:val="21"/>
          <w:highlight w:val="none"/>
        </w:rPr>
        <w:t>受</w:t>
      </w:r>
      <w:r>
        <w:rPr>
          <w:rFonts w:hint="eastAsia" w:hAnsi="宋体"/>
          <w:color w:val="auto"/>
          <w:sz w:val="21"/>
          <w:szCs w:val="21"/>
          <w:highlight w:val="none"/>
          <w:u w:val="single"/>
        </w:rPr>
        <w:t>东莞市长安镇霄边社区居民委员会</w:t>
      </w:r>
      <w:r>
        <w:rPr>
          <w:rFonts w:hint="eastAsia" w:hAnsi="宋体"/>
          <w:color w:val="auto"/>
          <w:sz w:val="21"/>
          <w:szCs w:val="21"/>
          <w:highlight w:val="none"/>
        </w:rPr>
        <w:t>的委托，采用</w:t>
      </w:r>
      <w:r>
        <w:rPr>
          <w:rFonts w:hint="eastAsia" w:hAnsi="宋体"/>
          <w:color w:val="auto"/>
          <w:sz w:val="21"/>
          <w:szCs w:val="21"/>
          <w:highlight w:val="none"/>
          <w:u w:val="single"/>
        </w:rPr>
        <w:t>竞争性磋商</w:t>
      </w:r>
      <w:r>
        <w:rPr>
          <w:rFonts w:hint="eastAsia" w:hAnsi="宋体"/>
          <w:color w:val="auto"/>
          <w:sz w:val="21"/>
          <w:szCs w:val="21"/>
          <w:highlight w:val="none"/>
        </w:rPr>
        <w:t>方式组织采购</w:t>
      </w:r>
      <w:r>
        <w:rPr>
          <w:rFonts w:hint="eastAsia" w:hAnsi="宋体"/>
          <w:color w:val="auto"/>
          <w:sz w:val="21"/>
          <w:szCs w:val="21"/>
          <w:highlight w:val="none"/>
          <w:u w:val="single"/>
        </w:rPr>
        <w:t>霄边社区典型村“百千万工程”建设提升规划编制</w:t>
      </w:r>
      <w:r>
        <w:rPr>
          <w:rFonts w:hint="eastAsia" w:hAnsi="宋体"/>
          <w:color w:val="auto"/>
          <w:sz w:val="21"/>
          <w:szCs w:val="21"/>
          <w:highlight w:val="none"/>
        </w:rPr>
        <w:t>。欢迎符合资格条件的国内供应商参加。</w:t>
      </w:r>
    </w:p>
    <w:p>
      <w:pPr>
        <w:pStyle w:val="3"/>
        <w:keepNext w:val="0"/>
        <w:keepLines w:val="0"/>
        <w:pageBreakBefore w:val="0"/>
        <w:widowControl w:val="0"/>
        <w:kinsoku/>
        <w:wordWrap/>
        <w:overflowPunct/>
        <w:topLinePunct w:val="0"/>
        <w:autoSpaceDE w:val="0"/>
        <w:autoSpaceDN w:val="0"/>
        <w:bidi w:val="0"/>
        <w:adjustRightInd w:val="0"/>
        <w:snapToGrid/>
        <w:spacing w:before="63" w:beforeLines="20" w:beforeAutospacing="0" w:line="360" w:lineRule="auto"/>
        <w:textAlignment w:val="auto"/>
        <w:rPr>
          <w:rFonts w:hAnsi="宋体" w:cs="宋体"/>
          <w:b/>
          <w:bCs/>
          <w:color w:val="auto"/>
          <w:sz w:val="21"/>
          <w:szCs w:val="21"/>
          <w:highlight w:val="none"/>
        </w:rPr>
      </w:pPr>
      <w:bookmarkStart w:id="3" w:name="_Toc35393790"/>
      <w:bookmarkStart w:id="4" w:name="_Toc35393621"/>
      <w:bookmarkStart w:id="5" w:name="_Toc28359002"/>
      <w:bookmarkStart w:id="6" w:name="_Toc28359079"/>
      <w:bookmarkStart w:id="7" w:name="_Toc19970"/>
      <w:bookmarkStart w:id="8" w:name="_Toc42180549"/>
      <w:bookmarkStart w:id="9" w:name="_Hlk24379207"/>
      <w:r>
        <w:rPr>
          <w:rFonts w:hint="eastAsia" w:hAnsi="宋体" w:cs="宋体"/>
          <w:b/>
          <w:bCs/>
          <w:color w:val="auto"/>
          <w:sz w:val="21"/>
          <w:szCs w:val="21"/>
          <w:highlight w:val="none"/>
        </w:rPr>
        <w:t>一、</w:t>
      </w:r>
      <w:bookmarkEnd w:id="3"/>
      <w:bookmarkEnd w:id="4"/>
      <w:bookmarkEnd w:id="5"/>
      <w:bookmarkEnd w:id="6"/>
      <w:r>
        <w:rPr>
          <w:rFonts w:hint="eastAsia" w:hAnsi="宋体" w:cs="宋体"/>
          <w:b/>
          <w:bCs/>
          <w:color w:val="auto"/>
          <w:sz w:val="21"/>
          <w:szCs w:val="21"/>
          <w:highlight w:val="none"/>
        </w:rPr>
        <w:t>项目概述：</w:t>
      </w:r>
      <w:bookmarkEnd w:id="7"/>
      <w:bookmarkEnd w:id="8"/>
    </w:p>
    <w:bookmarkEnd w:id="9"/>
    <w:p>
      <w:pPr>
        <w:spacing w:line="360" w:lineRule="auto"/>
        <w:ind w:firstLine="420" w:firstLineChars="200"/>
        <w:rPr>
          <w:rFonts w:hAnsi="宋体"/>
          <w:color w:val="auto"/>
          <w:sz w:val="21"/>
          <w:szCs w:val="21"/>
          <w:highlight w:val="none"/>
        </w:rPr>
      </w:pPr>
      <w:r>
        <w:rPr>
          <w:rFonts w:hAnsi="宋体"/>
          <w:color w:val="auto"/>
          <w:sz w:val="21"/>
          <w:szCs w:val="21"/>
          <w:highlight w:val="none"/>
        </w:rPr>
        <w:t>1.</w:t>
      </w:r>
      <w:r>
        <w:rPr>
          <w:rFonts w:hint="eastAsia" w:hAnsi="宋体"/>
          <w:color w:val="auto"/>
          <w:sz w:val="21"/>
          <w:szCs w:val="21"/>
          <w:highlight w:val="none"/>
        </w:rPr>
        <w:t>名称与编号</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项目名称：霄边社区典型村“百千万工程”建设提升规划编制</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采购项目编号：ZKZB-2024-C018</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采购方式：竞争性磋商</w:t>
      </w:r>
    </w:p>
    <w:p>
      <w:pPr>
        <w:spacing w:line="360" w:lineRule="auto"/>
        <w:ind w:firstLine="420" w:firstLineChars="200"/>
        <w:rPr>
          <w:rFonts w:hint="eastAsia" w:hAnsi="宋体" w:eastAsia="宋体" w:cs="宋体"/>
          <w:color w:val="auto"/>
          <w:sz w:val="21"/>
          <w:szCs w:val="21"/>
          <w:highlight w:val="none"/>
          <w:lang w:val="en-US" w:eastAsia="zh-CN"/>
        </w:rPr>
      </w:pPr>
      <w:r>
        <w:rPr>
          <w:rFonts w:hint="eastAsia" w:hAnsi="宋体" w:cs="宋体"/>
          <w:color w:val="auto"/>
          <w:sz w:val="21"/>
          <w:szCs w:val="21"/>
          <w:highlight w:val="none"/>
        </w:rPr>
        <w:t>预算金额：</w:t>
      </w:r>
      <w:r>
        <w:rPr>
          <w:rFonts w:hint="eastAsia" w:hAnsi="宋体" w:cs="宋体"/>
          <w:color w:val="auto"/>
          <w:sz w:val="21"/>
          <w:szCs w:val="21"/>
          <w:highlight w:val="none"/>
          <w:lang w:val="en-US" w:eastAsia="zh-CN"/>
        </w:rPr>
        <w:t>560,000.00</w:t>
      </w:r>
      <w:r>
        <w:rPr>
          <w:rFonts w:hint="eastAsia" w:hAnsi="宋体" w:cs="宋体"/>
          <w:color w:val="auto"/>
          <w:sz w:val="21"/>
          <w:szCs w:val="21"/>
          <w:highlight w:val="none"/>
        </w:rPr>
        <w:t>元</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2.项目内容及需求情况（采购项目技术规格、参数及要求）</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采购包1(霄边社区典型村“百千万工程”建设提升规划编制):</w:t>
      </w:r>
    </w:p>
    <w:p>
      <w:pPr>
        <w:spacing w:line="360" w:lineRule="auto"/>
        <w:ind w:firstLine="420" w:firstLineChars="200"/>
        <w:rPr>
          <w:rFonts w:hAnsi="宋体"/>
          <w:b/>
          <w:bCs/>
          <w:color w:val="auto"/>
          <w:sz w:val="21"/>
          <w:szCs w:val="21"/>
          <w:highlight w:val="none"/>
        </w:rPr>
      </w:pPr>
      <w:r>
        <w:rPr>
          <w:rFonts w:hint="eastAsia" w:hAnsi="宋体"/>
          <w:color w:val="auto"/>
          <w:sz w:val="21"/>
          <w:szCs w:val="21"/>
          <w:highlight w:val="none"/>
        </w:rPr>
        <w:t>采购包预算金额：￥</w:t>
      </w:r>
      <w:r>
        <w:rPr>
          <w:rFonts w:hint="eastAsia" w:hAnsi="宋体" w:cs="宋体"/>
          <w:color w:val="auto"/>
          <w:sz w:val="21"/>
          <w:szCs w:val="21"/>
          <w:highlight w:val="none"/>
          <w:lang w:val="en-US" w:eastAsia="zh-CN"/>
        </w:rPr>
        <w:t>560,000.00</w:t>
      </w:r>
      <w:r>
        <w:rPr>
          <w:rFonts w:hint="eastAsia" w:hAnsi="宋体"/>
          <w:color w:val="auto"/>
          <w:sz w:val="21"/>
          <w:szCs w:val="21"/>
          <w:highlight w:val="none"/>
        </w:rPr>
        <w:t>元</w:t>
      </w:r>
    </w:p>
    <w:tbl>
      <w:tblPr>
        <w:tblStyle w:val="48"/>
        <w:tblW w:w="864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40"/>
        <w:gridCol w:w="1282"/>
        <w:gridCol w:w="2645"/>
        <w:gridCol w:w="1336"/>
        <w:gridCol w:w="1282"/>
        <w:gridCol w:w="14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品目号</w:t>
            </w:r>
          </w:p>
        </w:tc>
        <w:tc>
          <w:tcPr>
            <w:tcW w:w="0" w:type="auto"/>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品目名称</w:t>
            </w:r>
          </w:p>
        </w:tc>
        <w:tc>
          <w:tcPr>
            <w:tcW w:w="2645" w:type="dxa"/>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采购标的</w:t>
            </w:r>
          </w:p>
        </w:tc>
        <w:tc>
          <w:tcPr>
            <w:tcW w:w="1336" w:type="dxa"/>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数量（单位）</w:t>
            </w:r>
          </w:p>
        </w:tc>
        <w:tc>
          <w:tcPr>
            <w:tcW w:w="1282" w:type="dxa"/>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技术规格、参数及要求</w:t>
            </w:r>
          </w:p>
        </w:tc>
        <w:tc>
          <w:tcPr>
            <w:tcW w:w="1459" w:type="dxa"/>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品目预算(元)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1</w:t>
            </w:r>
          </w:p>
        </w:tc>
        <w:tc>
          <w:tcPr>
            <w:tcW w:w="0" w:type="auto"/>
            <w:vAlign w:val="center"/>
          </w:tcPr>
          <w:p>
            <w:pPr>
              <w:spacing w:line="420" w:lineRule="exact"/>
              <w:jc w:val="center"/>
              <w:rPr>
                <w:rFonts w:hAnsi="宋体" w:cs="宋体"/>
                <w:color w:val="auto"/>
                <w:sz w:val="21"/>
                <w:szCs w:val="21"/>
                <w:highlight w:val="none"/>
              </w:rPr>
            </w:pPr>
            <w:r>
              <w:rPr>
                <w:rFonts w:hint="eastAsia" w:hAnsi="宋体" w:cs="宋体"/>
                <w:color w:val="auto"/>
                <w:sz w:val="21"/>
                <w:szCs w:val="21"/>
                <w:highlight w:val="none"/>
              </w:rPr>
              <w:t>区域规划和设计服务</w:t>
            </w:r>
          </w:p>
        </w:tc>
        <w:tc>
          <w:tcPr>
            <w:tcW w:w="2645" w:type="dxa"/>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霄边社区典型村“百千万工程”建设提升规划编制</w:t>
            </w:r>
          </w:p>
        </w:tc>
        <w:tc>
          <w:tcPr>
            <w:tcW w:w="1336" w:type="dxa"/>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1（项）</w:t>
            </w:r>
          </w:p>
        </w:tc>
        <w:tc>
          <w:tcPr>
            <w:tcW w:w="1282" w:type="dxa"/>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详见第二</w:t>
            </w:r>
            <w:r>
              <w:rPr>
                <w:rFonts w:asciiTheme="minorEastAsia" w:hAnsiTheme="minorEastAsia" w:eastAsiaTheme="minorEastAsia"/>
                <w:color w:val="auto"/>
                <w:sz w:val="21"/>
                <w:szCs w:val="21"/>
                <w:highlight w:val="none"/>
                <w:lang w:val="zh-CN"/>
              </w:rPr>
              <w:t>篇</w:t>
            </w:r>
          </w:p>
        </w:tc>
        <w:tc>
          <w:tcPr>
            <w:tcW w:w="1459" w:type="dxa"/>
            <w:vAlign w:val="center"/>
          </w:tcPr>
          <w:p>
            <w:pPr>
              <w:spacing w:line="420" w:lineRule="exact"/>
              <w:jc w:val="center"/>
              <w:rPr>
                <w:rFonts w:hAnsi="宋体"/>
                <w:color w:val="auto"/>
                <w:sz w:val="21"/>
                <w:szCs w:val="21"/>
                <w:highlight w:val="none"/>
              </w:rPr>
            </w:pPr>
            <w:r>
              <w:rPr>
                <w:rFonts w:hint="eastAsia" w:hAnsi="宋体" w:cs="宋体"/>
                <w:color w:val="auto"/>
                <w:sz w:val="21"/>
                <w:szCs w:val="21"/>
                <w:highlight w:val="none"/>
                <w:lang w:val="en-US" w:eastAsia="zh-CN"/>
              </w:rPr>
              <w:t>560,000.00</w:t>
            </w:r>
          </w:p>
        </w:tc>
      </w:tr>
    </w:tbl>
    <w:p>
      <w:pPr>
        <w:spacing w:line="360" w:lineRule="auto"/>
        <w:ind w:firstLine="420" w:firstLineChars="200"/>
        <w:rPr>
          <w:rFonts w:hAnsi="宋体"/>
          <w:b/>
          <w:bCs/>
          <w:color w:val="auto"/>
          <w:sz w:val="21"/>
          <w:szCs w:val="21"/>
          <w:highlight w:val="none"/>
        </w:rPr>
      </w:pPr>
      <w:r>
        <w:rPr>
          <w:rFonts w:hint="eastAsia" w:hAnsi="宋体"/>
          <w:color w:val="auto"/>
          <w:sz w:val="21"/>
          <w:szCs w:val="21"/>
          <w:highlight w:val="none"/>
        </w:rPr>
        <w:t>本采购包</w:t>
      </w:r>
      <w:r>
        <w:rPr>
          <w:rFonts w:hint="eastAsia" w:hAnsi="宋体"/>
          <w:b/>
          <w:bCs/>
          <w:color w:val="auto"/>
          <w:sz w:val="21"/>
          <w:szCs w:val="21"/>
          <w:highlight w:val="none"/>
          <w:u w:val="single"/>
        </w:rPr>
        <w:t>接受</w:t>
      </w:r>
      <w:r>
        <w:rPr>
          <w:rFonts w:hint="eastAsia" w:hAnsi="宋体"/>
          <w:color w:val="auto"/>
          <w:sz w:val="21"/>
          <w:szCs w:val="21"/>
          <w:highlight w:val="none"/>
        </w:rPr>
        <w:t>联合体投标。</w:t>
      </w:r>
      <w:r>
        <w:rPr>
          <w:rFonts w:hint="eastAsia" w:hAnsi="宋体"/>
          <w:b/>
          <w:bCs/>
          <w:color w:val="auto"/>
          <w:sz w:val="21"/>
          <w:szCs w:val="21"/>
          <w:highlight w:val="none"/>
        </w:rPr>
        <w:t>（</w:t>
      </w:r>
      <w:r>
        <w:rPr>
          <w:rFonts w:hint="eastAsia" w:hAnsi="宋体" w:cs="Times New Roman"/>
          <w:b/>
          <w:bCs/>
          <w:color w:val="auto"/>
          <w:sz w:val="21"/>
          <w:szCs w:val="21"/>
          <w:highlight w:val="none"/>
        </w:rPr>
        <w:t>联合体投标的，须提供《联合体共同响应协议书》。</w:t>
      </w:r>
      <w:r>
        <w:rPr>
          <w:rFonts w:hint="eastAsia" w:hAnsi="宋体"/>
          <w:b/>
          <w:bCs/>
          <w:color w:val="auto"/>
          <w:sz w:val="21"/>
          <w:szCs w:val="21"/>
          <w:highlight w:val="none"/>
        </w:rPr>
        <w:t>）</w:t>
      </w:r>
    </w:p>
    <w:p>
      <w:pPr>
        <w:ind w:firstLine="420"/>
        <w:rPr>
          <w:rFonts w:hAnsi="宋体"/>
          <w:color w:val="auto"/>
          <w:sz w:val="21"/>
          <w:szCs w:val="21"/>
          <w:highlight w:val="none"/>
        </w:rPr>
      </w:pPr>
      <w:r>
        <w:rPr>
          <w:rFonts w:hint="eastAsia" w:hAnsi="宋体"/>
          <w:color w:val="auto"/>
          <w:sz w:val="21"/>
          <w:szCs w:val="21"/>
          <w:highlight w:val="none"/>
        </w:rPr>
        <w:t>合同分包：不允许合同分包。</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合同履行期限：本项目的规划设计工作服务期为12个月</w:t>
      </w:r>
      <w:r>
        <w:rPr>
          <w:rFonts w:hint="eastAsia" w:hAnsi="宋体" w:cs="宋体"/>
          <w:color w:val="auto"/>
          <w:sz w:val="21"/>
          <w:szCs w:val="21"/>
          <w:highlight w:val="none"/>
        </w:rPr>
        <w:t>。</w:t>
      </w:r>
    </w:p>
    <w:p>
      <w:pPr>
        <w:pStyle w:val="3"/>
        <w:keepNext w:val="0"/>
        <w:keepLines w:val="0"/>
        <w:pageBreakBefore w:val="0"/>
        <w:widowControl w:val="0"/>
        <w:kinsoku/>
        <w:wordWrap/>
        <w:overflowPunct/>
        <w:topLinePunct w:val="0"/>
        <w:autoSpaceDE w:val="0"/>
        <w:autoSpaceDN w:val="0"/>
        <w:bidi w:val="0"/>
        <w:adjustRightInd w:val="0"/>
        <w:snapToGrid/>
        <w:spacing w:before="63" w:beforeLines="20" w:beforeAutospacing="0" w:line="360" w:lineRule="auto"/>
        <w:textAlignment w:val="auto"/>
        <w:rPr>
          <w:rFonts w:hint="eastAsia" w:hAnsi="宋体" w:cs="宋体"/>
          <w:b/>
          <w:bCs/>
          <w:color w:val="auto"/>
          <w:sz w:val="21"/>
          <w:szCs w:val="21"/>
          <w:highlight w:val="none"/>
        </w:rPr>
      </w:pPr>
      <w:bookmarkStart w:id="10" w:name="_Toc4501"/>
      <w:bookmarkStart w:id="11" w:name="_Toc28359003"/>
      <w:bookmarkStart w:id="12" w:name="_Toc42180550"/>
      <w:bookmarkStart w:id="13" w:name="_Toc28359080"/>
      <w:bookmarkStart w:id="14" w:name="_Toc35393791"/>
      <w:bookmarkStart w:id="15" w:name="_Toc35393622"/>
      <w:r>
        <w:rPr>
          <w:rFonts w:hint="eastAsia" w:hAnsi="宋体" w:cs="宋体"/>
          <w:b/>
          <w:bCs/>
          <w:color w:val="auto"/>
          <w:sz w:val="21"/>
          <w:szCs w:val="21"/>
          <w:highlight w:val="none"/>
        </w:rPr>
        <w:t>二、供应商的资格要求：</w:t>
      </w:r>
      <w:bookmarkEnd w:id="10"/>
      <w:bookmarkEnd w:id="11"/>
      <w:bookmarkEnd w:id="12"/>
      <w:bookmarkEnd w:id="13"/>
      <w:bookmarkEnd w:id="14"/>
      <w:bookmarkEnd w:id="15"/>
    </w:p>
    <w:p>
      <w:pPr>
        <w:spacing w:line="360" w:lineRule="auto"/>
        <w:ind w:firstLine="422" w:firstLineChars="200"/>
        <w:rPr>
          <w:rFonts w:hAnsi="宋体"/>
          <w:b/>
          <w:bCs/>
          <w:color w:val="auto"/>
          <w:sz w:val="21"/>
          <w:szCs w:val="21"/>
          <w:highlight w:val="none"/>
        </w:rPr>
      </w:pPr>
      <w:bookmarkStart w:id="16" w:name="_Toc28359081"/>
      <w:bookmarkStart w:id="17" w:name="_Toc28359004"/>
      <w:r>
        <w:rPr>
          <w:rFonts w:hint="eastAsia" w:hAnsi="宋体"/>
          <w:b/>
          <w:bCs/>
          <w:color w:val="auto"/>
          <w:sz w:val="21"/>
          <w:szCs w:val="21"/>
          <w:highlight w:val="none"/>
        </w:rPr>
        <w:t>1.投标供应商应具备《中华人民共和国政府采购法》第二十二条规定的条件，提供下列材料：</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1）具有独立承担民事责任的能力：在中华人民共和国境内注册的法人或其他组织或自然人，投标（响应）时提交有效的营业执照（或事业法人登记证或身份证等相关证明）副本复印件。分支机构投标的，须提供总公司和分公司营业执照副本复印件，总公司出具给分支机构的授权书。经总公司授权的分公司允许参与本项目投标</w:t>
      </w:r>
      <w:r>
        <w:rPr>
          <w:rFonts w:hAnsi="宋体"/>
          <w:color w:val="auto"/>
          <w:sz w:val="21"/>
          <w:szCs w:val="21"/>
          <w:highlight w:val="none"/>
        </w:rPr>
        <w:t>。</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2）有依法缴纳税收和社会保障资金的良好记录：提供投标截止日前6个月内任意1个月依法缴纳税收和社会保障资金的相关材料。如依法免税或不需要缴纳社会保障资金的，提供相应证明材料。（或提供供应商资格声明函，格式可参考磋商文件第六篇）</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3）具有良好的商业信誉和健全的财务会计制度：供应商必须具有良好的商业信誉和健全的财务会计制度（提供2023年度财务状况报告或2024年任意1个月财务状况或基本开户行出具的资信证明或提供供应商资格声明函，格式可参考磋商文件第六篇）</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4）履行合同所必需的设备和专业技术能力：按投标（响应）文件格式填报设备及专业技术能力情况。(或提供供应商资格声明函，格式可参考磋商文件第六篇）</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5）参加采购活动前3年内，在经营活动中没有重大违法记录：在经营活动中没有重大违法记录：参照投标（报价）函相关承诺格式内容。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p>
      <w:pPr>
        <w:spacing w:line="360" w:lineRule="auto"/>
        <w:ind w:firstLine="422" w:firstLineChars="200"/>
        <w:rPr>
          <w:rFonts w:hAnsi="宋体"/>
          <w:b/>
          <w:bCs/>
          <w:color w:val="auto"/>
          <w:sz w:val="21"/>
          <w:szCs w:val="21"/>
          <w:highlight w:val="none"/>
        </w:rPr>
      </w:pPr>
      <w:r>
        <w:rPr>
          <w:rFonts w:hint="eastAsia" w:hAnsi="宋体"/>
          <w:b/>
          <w:bCs/>
          <w:color w:val="auto"/>
          <w:sz w:val="21"/>
          <w:szCs w:val="21"/>
          <w:highlight w:val="none"/>
        </w:rPr>
        <w:t>2.落实政府采购政策需满足的资格要求：</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合同包1(霄边社区典型村“百千万工程”建设提升规划编制)：本项目非专门面向中小企业采购的项目，本项目的企业划分标准所属行业为：其他未列明行业。</w:t>
      </w:r>
    </w:p>
    <w:p>
      <w:pPr>
        <w:spacing w:line="360" w:lineRule="auto"/>
        <w:ind w:firstLine="422" w:firstLineChars="200"/>
        <w:rPr>
          <w:rFonts w:hAnsi="宋体"/>
          <w:b/>
          <w:bCs/>
          <w:color w:val="auto"/>
          <w:sz w:val="21"/>
          <w:szCs w:val="21"/>
          <w:highlight w:val="none"/>
        </w:rPr>
      </w:pPr>
      <w:r>
        <w:rPr>
          <w:rFonts w:hint="eastAsia" w:hAnsi="宋体"/>
          <w:b/>
          <w:bCs/>
          <w:color w:val="auto"/>
          <w:sz w:val="21"/>
          <w:szCs w:val="21"/>
          <w:highlight w:val="none"/>
        </w:rPr>
        <w:t>3.本项目的特定资格要求：</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合同包1(霄边社区典型村“百千万工程”建设提升规划编制)特定资格要求如下:</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(1)供应商未被列入“信用中国”网站(https://www.creditchina.gov.cn/)“记录失信被执行人或重大税收违法案件当事人名单”记录名单；不处于中国政府采购网(http://www.ccgp.gov.cn/)“政府采购严重违法失信行为信息记录”中的禁止参加政府采购活动期间。（以采购代理机构于投标（响应）截止时间当天在“信用中国”网站（https://www.creditchina.gov.cn/）及中国政府采购网（http://http://www.ccgp.gov.cn/）查询结果为准，如相关失信记录已失效，供应商需提供相关证明资料）。</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(2)单位负责人为同一人或者存在直接控股、管理关系的不同供应商，不得同时参加本采购项目（或采购包）投标（响应）。为本项目提供整体设计、规范编制或者项目管理、监理、检测等服务的供应商，不得再参与本项目投标（响应）。投标（报价）函相关承诺要求内容。</w:t>
      </w:r>
    </w:p>
    <w:p>
      <w:pPr>
        <w:spacing w:line="360" w:lineRule="auto"/>
        <w:ind w:firstLine="422" w:firstLineChars="200"/>
        <w:rPr>
          <w:rFonts w:hAnsi="宋体"/>
          <w:b/>
          <w:bCs/>
          <w:color w:val="auto"/>
          <w:sz w:val="21"/>
          <w:szCs w:val="21"/>
          <w:highlight w:val="none"/>
        </w:rPr>
      </w:pPr>
      <w:r>
        <w:rPr>
          <w:rFonts w:hAnsi="宋体"/>
          <w:b/>
          <w:bCs/>
          <w:color w:val="auto"/>
          <w:sz w:val="21"/>
          <w:szCs w:val="21"/>
          <w:highlight w:val="none"/>
        </w:rPr>
        <w:t>(3)</w:t>
      </w:r>
      <w:r>
        <w:rPr>
          <w:rFonts w:hint="eastAsia" w:hAnsi="宋体"/>
          <w:b/>
          <w:bCs/>
          <w:color w:val="auto"/>
          <w:sz w:val="21"/>
          <w:szCs w:val="21"/>
          <w:highlight w:val="none"/>
        </w:rPr>
        <w:t>供应商须具备行政主管部门颁发的城市（乡）规划编制乙级或以上资质。提供资质证书复印件并加盖公章</w:t>
      </w:r>
      <w:r>
        <w:rPr>
          <w:rFonts w:hint="eastAsia" w:hAnsi="宋体"/>
          <w:b/>
          <w:bCs/>
          <w:color w:val="auto"/>
          <w:sz w:val="21"/>
          <w:szCs w:val="21"/>
          <w:highlight w:val="none"/>
          <w:lang w:eastAsia="zh-CN"/>
        </w:rPr>
        <w:t>。</w:t>
      </w:r>
      <w:r>
        <w:rPr>
          <w:rFonts w:hint="eastAsia" w:hAnsi="宋体"/>
          <w:b/>
          <w:bCs/>
          <w:color w:val="auto"/>
          <w:sz w:val="21"/>
          <w:szCs w:val="21"/>
          <w:highlight w:val="none"/>
        </w:rPr>
        <w:t>如联合体</w:t>
      </w:r>
      <w:r>
        <w:rPr>
          <w:rFonts w:hint="eastAsia" w:hAnsi="宋体"/>
          <w:b/>
          <w:bCs/>
          <w:color w:val="auto"/>
          <w:sz w:val="21"/>
          <w:szCs w:val="21"/>
          <w:highlight w:val="none"/>
          <w:lang w:val="en-US" w:eastAsia="zh-CN"/>
        </w:rPr>
        <w:t>投标</w:t>
      </w:r>
      <w:r>
        <w:rPr>
          <w:rFonts w:hint="eastAsia" w:hAnsi="宋体"/>
          <w:b/>
          <w:bCs/>
          <w:color w:val="auto"/>
          <w:sz w:val="21"/>
          <w:szCs w:val="21"/>
          <w:highlight w:val="none"/>
        </w:rPr>
        <w:t>，则</w:t>
      </w:r>
      <w:r>
        <w:rPr>
          <w:rFonts w:hint="eastAsia" w:hAnsi="宋体"/>
          <w:b/>
          <w:bCs/>
          <w:color w:val="auto"/>
          <w:sz w:val="21"/>
          <w:szCs w:val="21"/>
          <w:highlight w:val="none"/>
          <w:lang w:val="en-US" w:eastAsia="zh-CN"/>
        </w:rPr>
        <w:t>参与联合体的各</w:t>
      </w:r>
      <w:r>
        <w:rPr>
          <w:rFonts w:hint="eastAsia" w:hAnsi="宋体"/>
          <w:b/>
          <w:bCs/>
          <w:color w:val="auto"/>
          <w:sz w:val="21"/>
          <w:szCs w:val="21"/>
          <w:highlight w:val="none"/>
        </w:rPr>
        <w:t>方</w:t>
      </w:r>
      <w:r>
        <w:rPr>
          <w:rFonts w:hint="eastAsia" w:hAnsi="宋体"/>
          <w:b/>
          <w:bCs/>
          <w:color w:val="auto"/>
          <w:sz w:val="21"/>
          <w:szCs w:val="21"/>
          <w:highlight w:val="none"/>
          <w:lang w:val="en-US" w:eastAsia="zh-CN"/>
        </w:rPr>
        <w:t>都</w:t>
      </w:r>
      <w:r>
        <w:rPr>
          <w:rFonts w:hint="eastAsia" w:hAnsi="宋体"/>
          <w:b/>
          <w:bCs/>
          <w:color w:val="auto"/>
          <w:sz w:val="21"/>
          <w:szCs w:val="21"/>
          <w:highlight w:val="none"/>
        </w:rPr>
        <w:t>须具备该资质证书</w:t>
      </w:r>
      <w:r>
        <w:rPr>
          <w:rFonts w:hint="eastAsia" w:hAnsi="宋体"/>
          <w:b/>
          <w:bCs/>
          <w:color w:val="auto"/>
          <w:sz w:val="21"/>
          <w:szCs w:val="21"/>
          <w:highlight w:val="none"/>
          <w:lang w:eastAsia="zh-CN"/>
        </w:rPr>
        <w:t>，</w:t>
      </w:r>
      <w:r>
        <w:rPr>
          <w:rFonts w:hint="eastAsia" w:hAnsi="宋体"/>
          <w:b/>
          <w:bCs/>
          <w:color w:val="auto"/>
          <w:sz w:val="21"/>
          <w:szCs w:val="21"/>
          <w:highlight w:val="none"/>
          <w:lang w:val="en-US" w:eastAsia="zh-CN"/>
        </w:rPr>
        <w:t>并</w:t>
      </w:r>
      <w:r>
        <w:rPr>
          <w:rFonts w:hint="eastAsia" w:hAnsi="宋体" w:cs="Times New Roman"/>
          <w:b/>
          <w:bCs/>
          <w:color w:val="auto"/>
          <w:sz w:val="21"/>
          <w:szCs w:val="21"/>
          <w:highlight w:val="none"/>
        </w:rPr>
        <w:t>提供《联合体共同响应协议书》</w:t>
      </w:r>
      <w:r>
        <w:rPr>
          <w:rFonts w:hint="eastAsia" w:ascii="宋体" w:hAnsi="宋体" w:eastAsia="宋体" w:cs="Times New Roman"/>
          <w:b/>
          <w:bCs/>
          <w:i w:val="0"/>
          <w:iCs w:val="0"/>
          <w:caps w:val="0"/>
          <w:color w:val="auto"/>
          <w:spacing w:val="0"/>
          <w:sz w:val="21"/>
          <w:szCs w:val="21"/>
          <w:highlight w:val="none"/>
          <w:shd w:val="clear"/>
        </w:rPr>
        <w:t>，明确分工</w:t>
      </w:r>
      <w:r>
        <w:rPr>
          <w:rFonts w:hint="eastAsia" w:hAnsi="宋体"/>
          <w:b/>
          <w:bCs/>
          <w:color w:val="auto"/>
          <w:sz w:val="21"/>
          <w:szCs w:val="21"/>
          <w:highlight w:val="none"/>
        </w:rPr>
        <w:t>。联合体中有同类资质的企业按照《联合体共同投标协议书》分工承担相同工作的，应当按照资质等级较低的企业确定联合体资质等级</w:t>
      </w:r>
      <w:r>
        <w:rPr>
          <w:rFonts w:hint="eastAsia" w:hAnsi="宋体"/>
          <w:b/>
          <w:bCs/>
          <w:color w:val="auto"/>
          <w:sz w:val="21"/>
          <w:szCs w:val="21"/>
          <w:highlight w:val="none"/>
          <w:lang w:eastAsia="zh-CN"/>
        </w:rPr>
        <w:t>。</w:t>
      </w:r>
      <w:r>
        <w:rPr>
          <w:rFonts w:hint="eastAsia" w:hAnsi="宋体"/>
          <w:b/>
          <w:bCs/>
          <w:color w:val="auto"/>
          <w:sz w:val="21"/>
          <w:szCs w:val="21"/>
          <w:highlight w:val="none"/>
        </w:rPr>
        <w:t>注：由于国务院组成部门调整，各省市政府职能部门相应调整，国家及各省市受理城乡规划编制资质申报部门尚未明确，因此均暂停受理城乡规划编制资质申报事项，暂不对城乡规划编制资质有效期限作出要求。如相关主管部门有最新政策，按最新政策执行。</w:t>
      </w:r>
    </w:p>
    <w:p>
      <w:pPr>
        <w:pStyle w:val="3"/>
        <w:keepNext w:val="0"/>
        <w:keepLines w:val="0"/>
        <w:pageBreakBefore w:val="0"/>
        <w:widowControl w:val="0"/>
        <w:kinsoku/>
        <w:wordWrap/>
        <w:overflowPunct/>
        <w:topLinePunct w:val="0"/>
        <w:autoSpaceDE w:val="0"/>
        <w:autoSpaceDN w:val="0"/>
        <w:bidi w:val="0"/>
        <w:adjustRightInd w:val="0"/>
        <w:snapToGrid/>
        <w:spacing w:before="63" w:beforeLines="20" w:beforeAutospacing="0" w:line="360" w:lineRule="auto"/>
        <w:textAlignment w:val="auto"/>
        <w:rPr>
          <w:rFonts w:hint="eastAsia" w:hAnsi="宋体" w:cs="宋体"/>
          <w:b/>
          <w:bCs/>
          <w:color w:val="auto"/>
          <w:sz w:val="21"/>
          <w:szCs w:val="21"/>
          <w:highlight w:val="none"/>
        </w:rPr>
      </w:pPr>
      <w:bookmarkStart w:id="18" w:name="_Toc35393792"/>
      <w:bookmarkStart w:id="19" w:name="_Toc35393623"/>
      <w:bookmarkStart w:id="20" w:name="_Toc15001"/>
      <w:bookmarkStart w:id="21" w:name="_Toc42180551"/>
      <w:r>
        <w:rPr>
          <w:rFonts w:hint="eastAsia" w:hAnsi="宋体" w:cs="宋体"/>
          <w:b/>
          <w:bCs/>
          <w:color w:val="auto"/>
          <w:sz w:val="21"/>
          <w:szCs w:val="21"/>
          <w:highlight w:val="none"/>
        </w:rPr>
        <w:t>三、获取磋商文件</w:t>
      </w:r>
      <w:bookmarkEnd w:id="16"/>
      <w:bookmarkEnd w:id="17"/>
      <w:bookmarkEnd w:id="18"/>
      <w:bookmarkEnd w:id="19"/>
      <w:r>
        <w:rPr>
          <w:rFonts w:hint="eastAsia" w:hAnsi="宋体" w:cs="宋体"/>
          <w:b/>
          <w:bCs/>
          <w:color w:val="auto"/>
          <w:sz w:val="21"/>
          <w:szCs w:val="21"/>
          <w:highlight w:val="none"/>
        </w:rPr>
        <w:t>：</w:t>
      </w:r>
      <w:bookmarkEnd w:id="20"/>
      <w:bookmarkEnd w:id="21"/>
    </w:p>
    <w:p>
      <w:pPr>
        <w:spacing w:line="360" w:lineRule="auto"/>
        <w:ind w:firstLine="444" w:firstLineChars="200"/>
        <w:rPr>
          <w:rFonts w:hAnsi="宋体" w:cs="宋体"/>
          <w:color w:val="auto"/>
          <w:spacing w:val="6"/>
          <w:sz w:val="21"/>
          <w:szCs w:val="21"/>
          <w:highlight w:val="none"/>
        </w:rPr>
      </w:pPr>
      <w:r>
        <w:rPr>
          <w:rFonts w:hint="eastAsia" w:hAnsi="宋体" w:cs="宋体"/>
          <w:color w:val="auto"/>
          <w:spacing w:val="6"/>
          <w:sz w:val="21"/>
          <w:szCs w:val="21"/>
          <w:highlight w:val="none"/>
        </w:rPr>
        <w:t>时间：</w:t>
      </w:r>
      <w:r>
        <w:rPr>
          <w:rFonts w:hint="eastAsia" w:hAnsi="宋体" w:cs="宋体"/>
          <w:b/>
          <w:bCs/>
          <w:color w:val="auto"/>
          <w:spacing w:val="6"/>
          <w:sz w:val="21"/>
          <w:szCs w:val="21"/>
          <w:highlight w:val="none"/>
          <w:u w:val="single"/>
        </w:rPr>
        <w:t>2024</w:t>
      </w:r>
      <w:r>
        <w:rPr>
          <w:rFonts w:hint="eastAsia" w:hAnsi="宋体" w:cs="宋体"/>
          <w:b/>
          <w:bCs/>
          <w:color w:val="auto"/>
          <w:spacing w:val="6"/>
          <w:sz w:val="21"/>
          <w:szCs w:val="21"/>
          <w:highlight w:val="none"/>
        </w:rPr>
        <w:t>年</w:t>
      </w:r>
      <w:r>
        <w:rPr>
          <w:rFonts w:hint="eastAsia" w:hAnsi="宋体" w:cs="宋体"/>
          <w:b/>
          <w:bCs/>
          <w:color w:val="auto"/>
          <w:spacing w:val="6"/>
          <w:sz w:val="21"/>
          <w:szCs w:val="21"/>
          <w:highlight w:val="none"/>
          <w:u w:val="single"/>
          <w:lang w:val="en-US" w:eastAsia="zh-CN"/>
        </w:rPr>
        <w:t xml:space="preserve"> </w:t>
      </w:r>
      <w:r>
        <w:rPr>
          <w:rFonts w:hint="eastAsia" w:hAnsi="宋体" w:cs="宋体"/>
          <w:b/>
          <w:bCs/>
          <w:color w:val="auto"/>
          <w:spacing w:val="6"/>
          <w:sz w:val="21"/>
          <w:szCs w:val="21"/>
          <w:highlight w:val="none"/>
          <w:u w:val="single"/>
          <w:lang w:val="en-US" w:eastAsia="zh-CN"/>
        </w:rPr>
        <w:t xml:space="preserve">07 </w:t>
      </w:r>
      <w:r>
        <w:rPr>
          <w:rFonts w:hint="eastAsia" w:hAnsi="宋体" w:cs="宋体"/>
          <w:b/>
          <w:bCs/>
          <w:color w:val="auto"/>
          <w:spacing w:val="6"/>
          <w:sz w:val="21"/>
          <w:szCs w:val="21"/>
          <w:highlight w:val="none"/>
        </w:rPr>
        <w:t>月</w:t>
      </w:r>
      <w:r>
        <w:rPr>
          <w:rFonts w:hint="eastAsia" w:hAnsi="宋体" w:cs="宋体"/>
          <w:b/>
          <w:bCs/>
          <w:color w:val="auto"/>
          <w:spacing w:val="6"/>
          <w:sz w:val="21"/>
          <w:szCs w:val="21"/>
          <w:highlight w:val="none"/>
          <w:u w:val="single"/>
          <w:lang w:val="en-US" w:eastAsia="zh-CN"/>
        </w:rPr>
        <w:t xml:space="preserve"> </w:t>
      </w:r>
      <w:r>
        <w:rPr>
          <w:rFonts w:hint="eastAsia" w:hAnsi="宋体" w:cs="宋体"/>
          <w:b/>
          <w:bCs/>
          <w:color w:val="auto"/>
          <w:spacing w:val="6"/>
          <w:sz w:val="21"/>
          <w:szCs w:val="21"/>
          <w:highlight w:val="none"/>
          <w:u w:val="single"/>
          <w:lang w:val="en-US" w:eastAsia="zh-CN"/>
        </w:rPr>
        <w:t xml:space="preserve">03 </w:t>
      </w:r>
      <w:r>
        <w:rPr>
          <w:rFonts w:hint="eastAsia" w:hAnsi="宋体" w:cs="宋体"/>
          <w:b/>
          <w:bCs/>
          <w:color w:val="auto"/>
          <w:spacing w:val="6"/>
          <w:sz w:val="21"/>
          <w:szCs w:val="21"/>
          <w:highlight w:val="none"/>
        </w:rPr>
        <w:t>日至</w:t>
      </w:r>
      <w:r>
        <w:rPr>
          <w:rFonts w:hint="eastAsia" w:hAnsi="宋体" w:cs="宋体"/>
          <w:b/>
          <w:bCs/>
          <w:color w:val="auto"/>
          <w:spacing w:val="6"/>
          <w:sz w:val="21"/>
          <w:szCs w:val="21"/>
          <w:highlight w:val="none"/>
          <w:u w:val="single"/>
        </w:rPr>
        <w:t>2024</w:t>
      </w:r>
      <w:r>
        <w:rPr>
          <w:rFonts w:hint="eastAsia" w:hAnsi="宋体" w:cs="宋体"/>
          <w:b/>
          <w:bCs/>
          <w:color w:val="auto"/>
          <w:spacing w:val="6"/>
          <w:sz w:val="21"/>
          <w:szCs w:val="21"/>
          <w:highlight w:val="none"/>
        </w:rPr>
        <w:t>年</w:t>
      </w:r>
      <w:r>
        <w:rPr>
          <w:rFonts w:hint="eastAsia" w:hAnsi="宋体" w:cs="宋体"/>
          <w:b/>
          <w:bCs/>
          <w:color w:val="auto"/>
          <w:spacing w:val="6"/>
          <w:sz w:val="21"/>
          <w:szCs w:val="21"/>
          <w:highlight w:val="none"/>
          <w:u w:val="single"/>
          <w:lang w:val="en-US" w:eastAsia="zh-CN"/>
        </w:rPr>
        <w:t xml:space="preserve"> 07 </w:t>
      </w:r>
      <w:r>
        <w:rPr>
          <w:rFonts w:hint="eastAsia" w:hAnsi="宋体" w:cs="宋体"/>
          <w:b/>
          <w:bCs/>
          <w:color w:val="auto"/>
          <w:spacing w:val="6"/>
          <w:sz w:val="21"/>
          <w:szCs w:val="21"/>
          <w:highlight w:val="none"/>
        </w:rPr>
        <w:t>月</w:t>
      </w:r>
      <w:r>
        <w:rPr>
          <w:rFonts w:hint="eastAsia" w:hAnsi="宋体" w:cs="宋体"/>
          <w:b/>
          <w:bCs/>
          <w:color w:val="auto"/>
          <w:spacing w:val="6"/>
          <w:sz w:val="21"/>
          <w:szCs w:val="21"/>
          <w:highlight w:val="none"/>
          <w:u w:val="single"/>
          <w:lang w:val="en-US" w:eastAsia="zh-CN"/>
        </w:rPr>
        <w:t xml:space="preserve"> </w:t>
      </w:r>
      <w:r>
        <w:rPr>
          <w:rFonts w:hint="eastAsia" w:hAnsi="宋体" w:cs="宋体"/>
          <w:b/>
          <w:bCs/>
          <w:color w:val="auto"/>
          <w:spacing w:val="6"/>
          <w:sz w:val="21"/>
          <w:szCs w:val="21"/>
          <w:highlight w:val="none"/>
          <w:u w:val="single"/>
          <w:lang w:val="en-US" w:eastAsia="zh-CN"/>
        </w:rPr>
        <w:t xml:space="preserve">10 </w:t>
      </w:r>
      <w:r>
        <w:rPr>
          <w:rFonts w:hint="eastAsia" w:hAnsi="宋体" w:cs="宋体"/>
          <w:b/>
          <w:bCs/>
          <w:color w:val="auto"/>
          <w:spacing w:val="6"/>
          <w:sz w:val="21"/>
          <w:szCs w:val="21"/>
          <w:highlight w:val="none"/>
        </w:rPr>
        <w:t>日，每天上午</w:t>
      </w:r>
      <w:r>
        <w:rPr>
          <w:rFonts w:hint="eastAsia" w:hAnsi="宋体" w:cs="宋体"/>
          <w:b/>
          <w:bCs/>
          <w:color w:val="auto"/>
          <w:spacing w:val="6"/>
          <w:sz w:val="21"/>
          <w:szCs w:val="21"/>
          <w:highlight w:val="none"/>
          <w:u w:val="single"/>
        </w:rPr>
        <w:t>9:</w:t>
      </w:r>
      <w:r>
        <w:rPr>
          <w:rFonts w:hAnsi="宋体" w:cs="宋体"/>
          <w:b/>
          <w:bCs/>
          <w:color w:val="auto"/>
          <w:spacing w:val="6"/>
          <w:sz w:val="21"/>
          <w:szCs w:val="21"/>
          <w:highlight w:val="none"/>
          <w:u w:val="single"/>
        </w:rPr>
        <w:t>00</w:t>
      </w:r>
      <w:r>
        <w:rPr>
          <w:rFonts w:hint="eastAsia" w:hAnsi="宋体" w:cs="宋体"/>
          <w:b/>
          <w:bCs/>
          <w:color w:val="auto"/>
          <w:spacing w:val="6"/>
          <w:sz w:val="21"/>
          <w:szCs w:val="21"/>
          <w:highlight w:val="none"/>
        </w:rPr>
        <w:t>至</w:t>
      </w:r>
      <w:r>
        <w:rPr>
          <w:rFonts w:hint="eastAsia" w:hAnsi="宋体" w:cs="宋体"/>
          <w:b/>
          <w:bCs/>
          <w:color w:val="auto"/>
          <w:spacing w:val="6"/>
          <w:sz w:val="21"/>
          <w:szCs w:val="21"/>
          <w:highlight w:val="none"/>
          <w:u w:val="single"/>
        </w:rPr>
        <w:t>1</w:t>
      </w:r>
      <w:r>
        <w:rPr>
          <w:rFonts w:hAnsi="宋体" w:cs="宋体"/>
          <w:b/>
          <w:bCs/>
          <w:color w:val="auto"/>
          <w:spacing w:val="6"/>
          <w:sz w:val="21"/>
          <w:szCs w:val="21"/>
          <w:highlight w:val="none"/>
          <w:u w:val="single"/>
        </w:rPr>
        <w:t>2</w:t>
      </w:r>
      <w:r>
        <w:rPr>
          <w:rFonts w:hint="eastAsia" w:hAnsi="宋体" w:cs="宋体"/>
          <w:b/>
          <w:bCs/>
          <w:color w:val="auto"/>
          <w:spacing w:val="6"/>
          <w:sz w:val="21"/>
          <w:szCs w:val="21"/>
          <w:highlight w:val="none"/>
          <w:u w:val="single"/>
        </w:rPr>
        <w:t>:</w:t>
      </w:r>
      <w:r>
        <w:rPr>
          <w:rFonts w:hAnsi="宋体" w:cs="宋体"/>
          <w:b/>
          <w:bCs/>
          <w:color w:val="auto"/>
          <w:spacing w:val="6"/>
          <w:sz w:val="21"/>
          <w:szCs w:val="21"/>
          <w:highlight w:val="none"/>
          <w:u w:val="single"/>
        </w:rPr>
        <w:t>00</w:t>
      </w:r>
      <w:r>
        <w:rPr>
          <w:rFonts w:hint="eastAsia" w:hAnsi="宋体" w:cs="宋体"/>
          <w:b/>
          <w:bCs/>
          <w:color w:val="auto"/>
          <w:spacing w:val="6"/>
          <w:sz w:val="21"/>
          <w:szCs w:val="21"/>
          <w:highlight w:val="none"/>
        </w:rPr>
        <w:t>，下午</w:t>
      </w:r>
      <w:r>
        <w:rPr>
          <w:rFonts w:hint="eastAsia" w:hAnsi="宋体" w:cs="宋体"/>
          <w:b/>
          <w:bCs/>
          <w:color w:val="auto"/>
          <w:spacing w:val="6"/>
          <w:sz w:val="21"/>
          <w:szCs w:val="21"/>
          <w:highlight w:val="none"/>
          <w:u w:val="single"/>
        </w:rPr>
        <w:t>2:</w:t>
      </w:r>
      <w:r>
        <w:rPr>
          <w:rFonts w:hAnsi="宋体" w:cs="宋体"/>
          <w:b/>
          <w:bCs/>
          <w:color w:val="auto"/>
          <w:spacing w:val="6"/>
          <w:sz w:val="21"/>
          <w:szCs w:val="21"/>
          <w:highlight w:val="none"/>
          <w:u w:val="single"/>
        </w:rPr>
        <w:t>30</w:t>
      </w:r>
      <w:r>
        <w:rPr>
          <w:rFonts w:hint="eastAsia" w:hAnsi="宋体" w:cs="宋体"/>
          <w:b/>
          <w:bCs/>
          <w:color w:val="auto"/>
          <w:spacing w:val="6"/>
          <w:sz w:val="21"/>
          <w:szCs w:val="21"/>
          <w:highlight w:val="none"/>
        </w:rPr>
        <w:t>至</w:t>
      </w:r>
      <w:r>
        <w:rPr>
          <w:rFonts w:hint="eastAsia" w:hAnsi="宋体" w:cs="宋体"/>
          <w:b/>
          <w:bCs/>
          <w:color w:val="auto"/>
          <w:spacing w:val="6"/>
          <w:sz w:val="21"/>
          <w:szCs w:val="21"/>
          <w:highlight w:val="none"/>
          <w:u w:val="single"/>
        </w:rPr>
        <w:t>5:</w:t>
      </w:r>
      <w:r>
        <w:rPr>
          <w:rFonts w:hAnsi="宋体" w:cs="宋体"/>
          <w:b/>
          <w:bCs/>
          <w:color w:val="auto"/>
          <w:spacing w:val="6"/>
          <w:sz w:val="21"/>
          <w:szCs w:val="21"/>
          <w:highlight w:val="none"/>
          <w:u w:val="single"/>
        </w:rPr>
        <w:t>30</w:t>
      </w:r>
      <w:r>
        <w:rPr>
          <w:rFonts w:hint="eastAsia" w:hAnsi="宋体" w:cs="宋体"/>
          <w:color w:val="auto"/>
          <w:spacing w:val="6"/>
          <w:sz w:val="21"/>
          <w:szCs w:val="21"/>
          <w:highlight w:val="none"/>
        </w:rPr>
        <w:t>（北京时间，</w:t>
      </w:r>
      <w:r>
        <w:rPr>
          <w:rFonts w:hAnsi="宋体" w:cs="宋体"/>
          <w:color w:val="auto"/>
          <w:spacing w:val="6"/>
          <w:sz w:val="21"/>
          <w:szCs w:val="21"/>
          <w:highlight w:val="none"/>
        </w:rPr>
        <w:t>法定节假日</w:t>
      </w:r>
      <w:r>
        <w:rPr>
          <w:rFonts w:hint="eastAsia" w:hAnsi="宋体" w:cs="宋体"/>
          <w:color w:val="auto"/>
          <w:spacing w:val="6"/>
          <w:sz w:val="21"/>
          <w:szCs w:val="21"/>
          <w:highlight w:val="none"/>
        </w:rPr>
        <w:t>除外）</w:t>
      </w:r>
    </w:p>
    <w:p>
      <w:pPr>
        <w:spacing w:line="360" w:lineRule="auto"/>
        <w:ind w:firstLine="420" w:firstLineChars="200"/>
        <w:rPr>
          <w:rFonts w:hAnsi="宋体" w:cs="宋体"/>
          <w:color w:val="auto"/>
          <w:sz w:val="21"/>
          <w:szCs w:val="21"/>
          <w:highlight w:val="none"/>
        </w:rPr>
      </w:pPr>
      <w:r>
        <w:rPr>
          <w:rFonts w:hint="eastAsia" w:hAnsi="宋体" w:cs="宋体"/>
          <w:color w:val="auto"/>
          <w:sz w:val="21"/>
          <w:szCs w:val="21"/>
          <w:highlight w:val="none"/>
        </w:rPr>
        <w:t>地点：</w:t>
      </w:r>
      <w:r>
        <w:rPr>
          <w:rFonts w:hAnsi="宋体"/>
          <w:color w:val="auto"/>
          <w:sz w:val="21"/>
          <w:szCs w:val="21"/>
          <w:highlight w:val="none"/>
        </w:rPr>
        <w:t>东莞市南城街道体育路南城段26号盈锋商务中心2栋708室（西区708室）</w:t>
      </w:r>
    </w:p>
    <w:p>
      <w:pPr>
        <w:spacing w:line="360" w:lineRule="auto"/>
        <w:ind w:firstLine="420" w:firstLineChars="200"/>
        <w:rPr>
          <w:rFonts w:hAnsi="宋体" w:cs="宋体"/>
          <w:color w:val="auto"/>
          <w:sz w:val="21"/>
          <w:szCs w:val="21"/>
          <w:highlight w:val="none"/>
        </w:rPr>
      </w:pPr>
      <w:r>
        <w:rPr>
          <w:rFonts w:hint="eastAsia" w:hAnsi="宋体" w:cs="宋体"/>
          <w:color w:val="auto"/>
          <w:sz w:val="21"/>
          <w:szCs w:val="21"/>
          <w:highlight w:val="none"/>
        </w:rPr>
        <w:t>方式：现场获取（</w:t>
      </w:r>
      <w:r>
        <w:rPr>
          <w:rFonts w:hAnsi="宋体" w:cs="宋体"/>
          <w:color w:val="auto"/>
          <w:sz w:val="21"/>
          <w:szCs w:val="21"/>
          <w:highlight w:val="none"/>
        </w:rPr>
        <w:t>须提供《营业执照》</w:t>
      </w:r>
      <w:r>
        <w:rPr>
          <w:rFonts w:hint="eastAsia" w:hAnsi="宋体" w:cs="宋体"/>
          <w:color w:val="auto"/>
          <w:sz w:val="21"/>
          <w:szCs w:val="21"/>
          <w:highlight w:val="none"/>
        </w:rPr>
        <w:t>或《事业单位法人证书》复印件</w:t>
      </w:r>
      <w:r>
        <w:rPr>
          <w:rFonts w:hAnsi="宋体" w:cs="宋体"/>
          <w:color w:val="auto"/>
          <w:sz w:val="21"/>
          <w:szCs w:val="21"/>
          <w:highlight w:val="none"/>
        </w:rPr>
        <w:t>加盖公章</w:t>
      </w:r>
      <w:r>
        <w:rPr>
          <w:rFonts w:hint="eastAsia" w:hAnsi="宋体" w:cs="宋体"/>
          <w:color w:val="auto"/>
          <w:sz w:val="21"/>
          <w:szCs w:val="21"/>
          <w:highlight w:val="none"/>
        </w:rPr>
        <w:t>）</w:t>
      </w:r>
    </w:p>
    <w:p>
      <w:pPr>
        <w:spacing w:line="360" w:lineRule="auto"/>
        <w:ind w:firstLine="420" w:firstLineChars="200"/>
        <w:rPr>
          <w:rFonts w:hAnsi="宋体" w:cs="宋体"/>
          <w:color w:val="auto"/>
          <w:sz w:val="21"/>
          <w:szCs w:val="21"/>
          <w:highlight w:val="none"/>
        </w:rPr>
      </w:pPr>
      <w:r>
        <w:rPr>
          <w:rFonts w:hint="eastAsia" w:hAnsi="宋体" w:cs="宋体"/>
          <w:color w:val="auto"/>
          <w:sz w:val="21"/>
          <w:szCs w:val="21"/>
          <w:highlight w:val="none"/>
        </w:rPr>
        <w:t>售价：300元</w:t>
      </w:r>
      <w:r>
        <w:rPr>
          <w:rFonts w:hint="eastAsia" w:hAnsi="宋体"/>
          <w:color w:val="auto"/>
          <w:sz w:val="21"/>
          <w:szCs w:val="21"/>
          <w:highlight w:val="none"/>
        </w:rPr>
        <w:t>，售后不退。</w:t>
      </w:r>
    </w:p>
    <w:p>
      <w:pPr>
        <w:pStyle w:val="3"/>
        <w:keepNext w:val="0"/>
        <w:keepLines w:val="0"/>
        <w:pageBreakBefore w:val="0"/>
        <w:widowControl w:val="0"/>
        <w:kinsoku/>
        <w:wordWrap/>
        <w:overflowPunct/>
        <w:topLinePunct w:val="0"/>
        <w:autoSpaceDE w:val="0"/>
        <w:autoSpaceDN w:val="0"/>
        <w:bidi w:val="0"/>
        <w:adjustRightInd w:val="0"/>
        <w:snapToGrid/>
        <w:spacing w:before="63" w:beforeLines="20" w:beforeAutospacing="0" w:line="360" w:lineRule="auto"/>
        <w:textAlignment w:val="auto"/>
        <w:rPr>
          <w:rFonts w:hint="eastAsia" w:hAnsi="宋体" w:cs="宋体"/>
          <w:b/>
          <w:bCs/>
          <w:color w:val="auto"/>
          <w:sz w:val="21"/>
          <w:szCs w:val="21"/>
          <w:highlight w:val="none"/>
        </w:rPr>
      </w:pPr>
      <w:bookmarkStart w:id="22" w:name="_Toc28359005"/>
      <w:bookmarkStart w:id="23" w:name="_Toc28359082"/>
      <w:bookmarkStart w:id="24" w:name="_Toc35393624"/>
      <w:bookmarkStart w:id="25" w:name="_Toc35393793"/>
      <w:bookmarkStart w:id="26" w:name="_Toc16905"/>
      <w:bookmarkStart w:id="27" w:name="_Toc42180552"/>
      <w:r>
        <w:rPr>
          <w:rFonts w:hint="eastAsia" w:hAnsi="宋体" w:cs="宋体"/>
          <w:b/>
          <w:bCs/>
          <w:color w:val="auto"/>
          <w:sz w:val="21"/>
          <w:szCs w:val="21"/>
          <w:highlight w:val="none"/>
        </w:rPr>
        <w:t>四、提交响应文件</w:t>
      </w:r>
      <w:bookmarkEnd w:id="22"/>
      <w:bookmarkEnd w:id="23"/>
      <w:r>
        <w:rPr>
          <w:rFonts w:hint="eastAsia" w:hAnsi="宋体" w:cs="宋体"/>
          <w:b/>
          <w:bCs/>
          <w:color w:val="auto"/>
          <w:sz w:val="21"/>
          <w:szCs w:val="21"/>
          <w:highlight w:val="none"/>
        </w:rPr>
        <w:t>截止时间、开标时间和地点</w:t>
      </w:r>
      <w:bookmarkEnd w:id="24"/>
      <w:bookmarkEnd w:id="25"/>
      <w:r>
        <w:rPr>
          <w:rFonts w:hint="eastAsia" w:hAnsi="宋体" w:cs="宋体"/>
          <w:b/>
          <w:bCs/>
          <w:color w:val="auto"/>
          <w:sz w:val="21"/>
          <w:szCs w:val="21"/>
          <w:highlight w:val="none"/>
        </w:rPr>
        <w:t>：</w:t>
      </w:r>
      <w:bookmarkEnd w:id="26"/>
      <w:bookmarkEnd w:id="27"/>
    </w:p>
    <w:p>
      <w:pPr>
        <w:spacing w:line="360" w:lineRule="auto"/>
        <w:ind w:firstLine="420" w:firstLineChars="200"/>
        <w:rPr>
          <w:rFonts w:hAnsi="宋体"/>
          <w:bCs/>
          <w:color w:val="auto"/>
          <w:sz w:val="21"/>
          <w:szCs w:val="21"/>
          <w:highlight w:val="none"/>
        </w:rPr>
      </w:pPr>
      <w:r>
        <w:rPr>
          <w:rFonts w:hint="eastAsia" w:hAnsi="宋体" w:cs="宋体"/>
          <w:color w:val="auto"/>
          <w:sz w:val="21"/>
          <w:szCs w:val="21"/>
          <w:highlight w:val="none"/>
        </w:rPr>
        <w:t>提交响应文件截止时间和开标时间：</w:t>
      </w:r>
      <w:r>
        <w:rPr>
          <w:rFonts w:hint="eastAsia" w:hAnsi="宋体" w:cs="宋体"/>
          <w:b/>
          <w:bCs/>
          <w:color w:val="auto"/>
          <w:sz w:val="21"/>
          <w:szCs w:val="21"/>
          <w:highlight w:val="none"/>
          <w:u w:val="single"/>
        </w:rPr>
        <w:t>2024</w:t>
      </w:r>
      <w:r>
        <w:rPr>
          <w:rFonts w:hint="eastAsia" w:hAnsi="宋体" w:cs="宋体"/>
          <w:b/>
          <w:bCs/>
          <w:color w:val="auto"/>
          <w:sz w:val="21"/>
          <w:szCs w:val="21"/>
          <w:highlight w:val="none"/>
          <w:u w:val="single"/>
          <w:lang w:val="en-US" w:eastAsia="zh-CN"/>
        </w:rPr>
        <w:t xml:space="preserve"> </w:t>
      </w:r>
      <w:r>
        <w:rPr>
          <w:rFonts w:hint="eastAsia" w:hAnsi="宋体" w:cs="宋体"/>
          <w:b/>
          <w:bCs/>
          <w:color w:val="auto"/>
          <w:sz w:val="21"/>
          <w:szCs w:val="21"/>
          <w:highlight w:val="none"/>
        </w:rPr>
        <w:t>年</w:t>
      </w:r>
      <w:r>
        <w:rPr>
          <w:rFonts w:hint="eastAsia" w:hAnsi="宋体" w:cs="宋体"/>
          <w:b/>
          <w:bCs/>
          <w:color w:val="auto"/>
          <w:sz w:val="21"/>
          <w:szCs w:val="21"/>
          <w:highlight w:val="none"/>
          <w:u w:val="single"/>
          <w:lang w:val="en-US" w:eastAsia="zh-CN"/>
        </w:rPr>
        <w:t xml:space="preserve"> </w:t>
      </w:r>
      <w:r>
        <w:rPr>
          <w:rFonts w:hint="eastAsia" w:hAnsi="宋体" w:cs="宋体"/>
          <w:b/>
          <w:bCs/>
          <w:color w:val="auto"/>
          <w:sz w:val="21"/>
          <w:szCs w:val="21"/>
          <w:highlight w:val="none"/>
          <w:u w:val="single"/>
          <w:lang w:val="en-US" w:eastAsia="zh-CN"/>
        </w:rPr>
        <w:t xml:space="preserve">07 </w:t>
      </w:r>
      <w:r>
        <w:rPr>
          <w:rFonts w:hint="eastAsia" w:hAnsi="宋体" w:cs="宋体"/>
          <w:b/>
          <w:bCs/>
          <w:color w:val="auto"/>
          <w:sz w:val="21"/>
          <w:szCs w:val="21"/>
          <w:highlight w:val="none"/>
        </w:rPr>
        <w:t>月</w:t>
      </w:r>
      <w:r>
        <w:rPr>
          <w:rFonts w:hint="eastAsia" w:hAnsi="宋体" w:cs="宋体"/>
          <w:b/>
          <w:bCs/>
          <w:color w:val="auto"/>
          <w:sz w:val="21"/>
          <w:szCs w:val="21"/>
          <w:highlight w:val="none"/>
          <w:u w:val="single"/>
          <w:lang w:val="en-US" w:eastAsia="zh-CN"/>
        </w:rPr>
        <w:t xml:space="preserve"> </w:t>
      </w:r>
      <w:r>
        <w:rPr>
          <w:rFonts w:hint="eastAsia" w:hAnsi="宋体" w:cs="宋体"/>
          <w:b/>
          <w:bCs/>
          <w:color w:val="auto"/>
          <w:sz w:val="21"/>
          <w:szCs w:val="21"/>
          <w:highlight w:val="none"/>
          <w:u w:val="single"/>
          <w:lang w:val="en-US" w:eastAsia="zh-CN"/>
        </w:rPr>
        <w:t xml:space="preserve">16 </w:t>
      </w:r>
      <w:r>
        <w:rPr>
          <w:rFonts w:hint="eastAsia" w:hAnsi="宋体" w:cs="宋体"/>
          <w:b/>
          <w:bCs/>
          <w:color w:val="auto"/>
          <w:sz w:val="21"/>
          <w:szCs w:val="21"/>
          <w:highlight w:val="none"/>
        </w:rPr>
        <w:t>日</w:t>
      </w:r>
      <w:r>
        <w:rPr>
          <w:rFonts w:hint="eastAsia" w:hAnsi="宋体" w:cs="宋体"/>
          <w:b/>
          <w:bCs/>
          <w:color w:val="auto"/>
          <w:sz w:val="21"/>
          <w:szCs w:val="21"/>
          <w:highlight w:val="none"/>
          <w:u w:val="single"/>
          <w:lang w:val="en-US" w:eastAsia="zh-CN"/>
        </w:rPr>
        <w:t>14</w:t>
      </w:r>
      <w:r>
        <w:rPr>
          <w:rFonts w:hint="eastAsia" w:hAnsi="宋体" w:cs="宋体"/>
          <w:b/>
          <w:bCs/>
          <w:color w:val="auto"/>
          <w:sz w:val="21"/>
          <w:szCs w:val="21"/>
          <w:highlight w:val="none"/>
        </w:rPr>
        <w:t>点</w:t>
      </w:r>
      <w:r>
        <w:rPr>
          <w:rFonts w:hint="eastAsia" w:hAnsi="宋体" w:cs="宋体"/>
          <w:b/>
          <w:bCs/>
          <w:color w:val="auto"/>
          <w:sz w:val="21"/>
          <w:szCs w:val="21"/>
          <w:highlight w:val="none"/>
          <w:u w:val="single"/>
        </w:rPr>
        <w:t>30</w:t>
      </w:r>
      <w:r>
        <w:rPr>
          <w:rFonts w:hint="eastAsia" w:hAnsi="宋体" w:cs="宋体"/>
          <w:b/>
          <w:bCs/>
          <w:color w:val="auto"/>
          <w:sz w:val="21"/>
          <w:szCs w:val="21"/>
          <w:highlight w:val="none"/>
        </w:rPr>
        <w:t>分</w:t>
      </w:r>
      <w:r>
        <w:rPr>
          <w:rFonts w:hint="eastAsia" w:hAnsi="宋体"/>
          <w:bCs/>
          <w:color w:val="auto"/>
          <w:sz w:val="21"/>
          <w:szCs w:val="21"/>
          <w:highlight w:val="none"/>
        </w:rPr>
        <w:t>（北京时间）</w:t>
      </w:r>
    </w:p>
    <w:p>
      <w:pPr>
        <w:spacing w:line="360" w:lineRule="auto"/>
        <w:ind w:firstLine="420" w:firstLineChars="200"/>
        <w:rPr>
          <w:rFonts w:hAnsi="宋体" w:cs="宋体"/>
          <w:color w:val="auto"/>
          <w:sz w:val="21"/>
          <w:szCs w:val="21"/>
          <w:highlight w:val="none"/>
        </w:rPr>
      </w:pPr>
      <w:r>
        <w:rPr>
          <w:rFonts w:hAnsi="宋体" w:cs="宋体"/>
          <w:color w:val="auto"/>
          <w:sz w:val="21"/>
          <w:szCs w:val="21"/>
          <w:highlight w:val="none"/>
        </w:rPr>
        <w:t>（自响应文件开始发出之日起至响应供应商提交响应文件截止之日止，不得少于10个日历日）</w:t>
      </w:r>
    </w:p>
    <w:p>
      <w:pPr>
        <w:spacing w:line="360" w:lineRule="auto"/>
        <w:ind w:firstLine="420" w:firstLineChars="200"/>
        <w:rPr>
          <w:rFonts w:hAnsi="宋体"/>
          <w:bCs/>
          <w:color w:val="auto"/>
          <w:sz w:val="21"/>
          <w:szCs w:val="21"/>
          <w:highlight w:val="none"/>
          <w:u w:val="single"/>
        </w:rPr>
      </w:pPr>
      <w:r>
        <w:rPr>
          <w:rFonts w:hint="eastAsia" w:hAnsi="宋体"/>
          <w:color w:val="auto"/>
          <w:sz w:val="21"/>
          <w:szCs w:val="21"/>
          <w:highlight w:val="none"/>
        </w:rPr>
        <w:t>地点：东莞市长安镇霄边社区居民委员会办公大楼三楼301会议室（下洋路6号）</w:t>
      </w:r>
      <w:r>
        <w:rPr>
          <w:rFonts w:hint="eastAsia" w:hAnsi="宋体"/>
          <w:color w:val="auto"/>
          <w:sz w:val="21"/>
          <w:szCs w:val="21"/>
          <w:highlight w:val="none"/>
          <w:lang w:eastAsia="zh-CN"/>
        </w:rPr>
        <w:t>。</w:t>
      </w:r>
    </w:p>
    <w:p>
      <w:pPr>
        <w:pStyle w:val="3"/>
        <w:keepNext w:val="0"/>
        <w:keepLines w:val="0"/>
        <w:pageBreakBefore w:val="0"/>
        <w:widowControl w:val="0"/>
        <w:kinsoku/>
        <w:wordWrap/>
        <w:overflowPunct/>
        <w:topLinePunct w:val="0"/>
        <w:autoSpaceDE w:val="0"/>
        <w:autoSpaceDN w:val="0"/>
        <w:bidi w:val="0"/>
        <w:adjustRightInd w:val="0"/>
        <w:snapToGrid/>
        <w:spacing w:before="63" w:beforeLines="20" w:beforeAutospacing="0" w:line="360" w:lineRule="auto"/>
        <w:textAlignment w:val="auto"/>
        <w:rPr>
          <w:rFonts w:hint="eastAsia" w:hAnsi="宋体" w:cs="宋体"/>
          <w:b/>
          <w:bCs/>
          <w:color w:val="auto"/>
          <w:sz w:val="21"/>
          <w:szCs w:val="21"/>
          <w:highlight w:val="none"/>
        </w:rPr>
      </w:pPr>
      <w:bookmarkStart w:id="28" w:name="_Toc28359007"/>
      <w:bookmarkStart w:id="29" w:name="_Toc35393794"/>
      <w:bookmarkStart w:id="30" w:name="_Toc28359084"/>
      <w:bookmarkStart w:id="31" w:name="_Toc35393625"/>
      <w:bookmarkStart w:id="32" w:name="_Toc42180553"/>
      <w:bookmarkStart w:id="33" w:name="_Toc19249"/>
      <w:r>
        <w:rPr>
          <w:rFonts w:hint="eastAsia" w:hAnsi="宋体" w:cs="宋体"/>
          <w:b/>
          <w:bCs/>
          <w:color w:val="auto"/>
          <w:sz w:val="21"/>
          <w:szCs w:val="21"/>
          <w:highlight w:val="none"/>
        </w:rPr>
        <w:t>五、</w:t>
      </w:r>
      <w:bookmarkEnd w:id="28"/>
      <w:bookmarkEnd w:id="29"/>
      <w:bookmarkEnd w:id="30"/>
      <w:bookmarkEnd w:id="31"/>
      <w:r>
        <w:rPr>
          <w:rFonts w:hint="eastAsia" w:hAnsi="宋体" w:cs="宋体"/>
          <w:b/>
          <w:bCs/>
          <w:color w:val="auto"/>
          <w:sz w:val="21"/>
          <w:szCs w:val="21"/>
          <w:highlight w:val="none"/>
        </w:rPr>
        <w:t>公告期限、发布公告的媒介：</w:t>
      </w:r>
      <w:bookmarkEnd w:id="32"/>
      <w:bookmarkEnd w:id="33"/>
    </w:p>
    <w:p>
      <w:pPr>
        <w:spacing w:line="360" w:lineRule="auto"/>
        <w:ind w:firstLine="420" w:firstLineChars="200"/>
        <w:rPr>
          <w:rFonts w:hAnsi="宋体" w:cs="宋体"/>
          <w:color w:val="auto"/>
          <w:sz w:val="21"/>
          <w:szCs w:val="21"/>
          <w:highlight w:val="none"/>
        </w:rPr>
      </w:pPr>
      <w:r>
        <w:rPr>
          <w:rFonts w:hint="eastAsia" w:hAnsi="宋体" w:cs="宋体"/>
          <w:color w:val="auto"/>
          <w:sz w:val="21"/>
          <w:szCs w:val="21"/>
          <w:highlight w:val="none"/>
        </w:rPr>
        <w:t>1、公告期限：自本公告发布之日起不得少于5个工作日。</w:t>
      </w:r>
    </w:p>
    <w:p>
      <w:pPr>
        <w:spacing w:line="360" w:lineRule="auto"/>
        <w:ind w:firstLine="420" w:firstLineChars="200"/>
        <w:rPr>
          <w:rFonts w:hAnsi="宋体" w:cs="宋体"/>
          <w:color w:val="auto"/>
          <w:sz w:val="21"/>
          <w:szCs w:val="21"/>
          <w:highlight w:val="none"/>
        </w:rPr>
      </w:pPr>
      <w:r>
        <w:rPr>
          <w:rFonts w:hint="eastAsia" w:hAnsi="宋体" w:cs="宋体"/>
          <w:color w:val="auto"/>
          <w:sz w:val="21"/>
          <w:szCs w:val="21"/>
          <w:highlight w:val="none"/>
        </w:rPr>
        <w:t>2、发布公告的媒介：采购与招标网(元博网)（https://www.chinabidding.cn/），广东中科招标有限公司官网（http://www.zkzbgd.com/）。</w:t>
      </w:r>
    </w:p>
    <w:p>
      <w:pPr>
        <w:pStyle w:val="3"/>
        <w:keepNext w:val="0"/>
        <w:keepLines w:val="0"/>
        <w:pageBreakBefore w:val="0"/>
        <w:widowControl w:val="0"/>
        <w:kinsoku/>
        <w:wordWrap/>
        <w:overflowPunct/>
        <w:topLinePunct w:val="0"/>
        <w:autoSpaceDE w:val="0"/>
        <w:autoSpaceDN w:val="0"/>
        <w:bidi w:val="0"/>
        <w:adjustRightInd w:val="0"/>
        <w:snapToGrid/>
        <w:spacing w:before="63" w:beforeLines="20" w:beforeAutospacing="0" w:line="360" w:lineRule="auto"/>
        <w:textAlignment w:val="auto"/>
        <w:rPr>
          <w:rFonts w:hint="eastAsia" w:hAnsi="宋体" w:cs="宋体"/>
          <w:b/>
          <w:bCs/>
          <w:color w:val="auto"/>
          <w:sz w:val="21"/>
          <w:szCs w:val="21"/>
          <w:highlight w:val="none"/>
        </w:rPr>
      </w:pPr>
      <w:bookmarkStart w:id="34" w:name="_Toc35393795"/>
      <w:bookmarkStart w:id="35" w:name="_Toc35393626"/>
      <w:bookmarkStart w:id="36" w:name="_Toc7296"/>
      <w:bookmarkStart w:id="37" w:name="_Toc42180554"/>
      <w:r>
        <w:rPr>
          <w:rFonts w:hint="eastAsia" w:hAnsi="宋体" w:cs="宋体"/>
          <w:b/>
          <w:bCs/>
          <w:color w:val="auto"/>
          <w:sz w:val="21"/>
          <w:szCs w:val="21"/>
          <w:highlight w:val="none"/>
        </w:rPr>
        <w:t>六、其他补充事宜</w:t>
      </w:r>
      <w:bookmarkEnd w:id="34"/>
      <w:bookmarkEnd w:id="35"/>
      <w:r>
        <w:rPr>
          <w:rFonts w:hint="eastAsia" w:hAnsi="宋体" w:cs="宋体"/>
          <w:b/>
          <w:bCs/>
          <w:color w:val="auto"/>
          <w:sz w:val="21"/>
          <w:szCs w:val="21"/>
          <w:highlight w:val="none"/>
        </w:rPr>
        <w:t>：</w:t>
      </w:r>
      <w:bookmarkEnd w:id="36"/>
      <w:bookmarkEnd w:id="37"/>
    </w:p>
    <w:p>
      <w:pPr>
        <w:spacing w:line="360" w:lineRule="auto"/>
        <w:ind w:firstLine="420" w:firstLineChars="200"/>
        <w:rPr>
          <w:rFonts w:hAnsi="宋体" w:cs="宋体"/>
          <w:color w:val="auto"/>
          <w:sz w:val="21"/>
          <w:szCs w:val="21"/>
          <w:highlight w:val="none"/>
        </w:rPr>
      </w:pPr>
      <w:r>
        <w:rPr>
          <w:rFonts w:hint="eastAsia" w:hAnsi="宋体" w:cs="宋体"/>
          <w:color w:val="auto"/>
          <w:sz w:val="21"/>
          <w:szCs w:val="21"/>
          <w:highlight w:val="none"/>
        </w:rPr>
        <w:t>无。</w:t>
      </w:r>
    </w:p>
    <w:p>
      <w:pPr>
        <w:pStyle w:val="3"/>
        <w:keepNext w:val="0"/>
        <w:keepLines w:val="0"/>
        <w:pageBreakBefore w:val="0"/>
        <w:widowControl w:val="0"/>
        <w:kinsoku/>
        <w:wordWrap/>
        <w:overflowPunct/>
        <w:topLinePunct w:val="0"/>
        <w:autoSpaceDE w:val="0"/>
        <w:autoSpaceDN w:val="0"/>
        <w:bidi w:val="0"/>
        <w:adjustRightInd w:val="0"/>
        <w:snapToGrid/>
        <w:spacing w:before="63" w:beforeLines="20" w:beforeAutospacing="0" w:line="360" w:lineRule="auto"/>
        <w:textAlignment w:val="auto"/>
        <w:rPr>
          <w:rFonts w:hint="eastAsia" w:hAnsi="宋体" w:cs="宋体"/>
          <w:b/>
          <w:bCs/>
          <w:color w:val="auto"/>
          <w:sz w:val="21"/>
          <w:szCs w:val="21"/>
          <w:highlight w:val="none"/>
        </w:rPr>
      </w:pPr>
      <w:bookmarkStart w:id="38" w:name="_Toc35393627"/>
      <w:bookmarkStart w:id="39" w:name="_Toc28359085"/>
      <w:bookmarkStart w:id="40" w:name="_Toc28359008"/>
      <w:bookmarkStart w:id="41" w:name="_Toc35393796"/>
      <w:bookmarkStart w:id="42" w:name="_Toc16564"/>
      <w:bookmarkStart w:id="43" w:name="_Toc42180555"/>
      <w:r>
        <w:rPr>
          <w:rFonts w:hint="eastAsia" w:hAnsi="宋体" w:cs="宋体"/>
          <w:b/>
          <w:bCs/>
          <w:color w:val="auto"/>
          <w:sz w:val="21"/>
          <w:szCs w:val="21"/>
          <w:highlight w:val="none"/>
        </w:rPr>
        <w:t>七、对本次招标提出询问，请按以下方式联系</w:t>
      </w:r>
      <w:bookmarkEnd w:id="38"/>
      <w:bookmarkEnd w:id="39"/>
      <w:bookmarkEnd w:id="40"/>
      <w:bookmarkEnd w:id="41"/>
      <w:r>
        <w:rPr>
          <w:rFonts w:hint="eastAsia" w:hAnsi="宋体" w:cs="宋体"/>
          <w:b/>
          <w:bCs/>
          <w:color w:val="auto"/>
          <w:sz w:val="21"/>
          <w:szCs w:val="21"/>
          <w:highlight w:val="none"/>
        </w:rPr>
        <w:t>：</w:t>
      </w:r>
      <w:bookmarkEnd w:id="42"/>
      <w:bookmarkEnd w:id="43"/>
    </w:p>
    <w:p>
      <w:pPr>
        <w:spacing w:line="360" w:lineRule="auto"/>
        <w:ind w:firstLine="420" w:firstLineChars="200"/>
        <w:rPr>
          <w:rFonts w:hAnsi="宋体"/>
          <w:color w:val="auto"/>
          <w:sz w:val="21"/>
          <w:szCs w:val="21"/>
          <w:highlight w:val="none"/>
        </w:rPr>
      </w:pPr>
      <w:r>
        <w:rPr>
          <w:rFonts w:hint="eastAsia" w:hAnsi="宋体" w:cs="宋体"/>
          <w:color w:val="auto"/>
          <w:sz w:val="21"/>
          <w:szCs w:val="21"/>
          <w:highlight w:val="none"/>
        </w:rPr>
        <w:t>1.采购人信息</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名　称：东莞市长安镇霄边社区居民委员会</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地　址：东莞市长安镇霄边社区</w:t>
      </w:r>
    </w:p>
    <w:p>
      <w:pPr>
        <w:spacing w:line="360" w:lineRule="auto"/>
        <w:ind w:firstLine="420" w:firstLineChars="200"/>
        <w:rPr>
          <w:rFonts w:hAnsi="宋体"/>
          <w:color w:val="auto"/>
          <w:sz w:val="21"/>
          <w:szCs w:val="21"/>
          <w:highlight w:val="none"/>
        </w:rPr>
      </w:pPr>
      <w:bookmarkStart w:id="44" w:name="_Toc28359086"/>
      <w:bookmarkStart w:id="45" w:name="_Toc28359009"/>
      <w:r>
        <w:rPr>
          <w:rFonts w:hint="eastAsia" w:hAnsi="宋体" w:cs="宋体"/>
          <w:color w:val="auto"/>
          <w:sz w:val="21"/>
          <w:szCs w:val="21"/>
          <w:highlight w:val="none"/>
        </w:rPr>
        <w:t>2.采购代理机构信息</w:t>
      </w:r>
      <w:bookmarkEnd w:id="44"/>
      <w:bookmarkEnd w:id="45"/>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名　称：</w:t>
      </w:r>
      <w:r>
        <w:rPr>
          <w:rFonts w:hint="eastAsia" w:hAnsi="宋体"/>
          <w:color w:val="auto"/>
          <w:kern w:val="2"/>
          <w:sz w:val="21"/>
          <w:szCs w:val="21"/>
          <w:highlight w:val="none"/>
        </w:rPr>
        <w:t>广东中科招标有限公司</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地　址：</w:t>
      </w:r>
      <w:r>
        <w:rPr>
          <w:rFonts w:hAnsi="宋体"/>
          <w:color w:val="auto"/>
          <w:sz w:val="21"/>
          <w:szCs w:val="21"/>
          <w:highlight w:val="none"/>
        </w:rPr>
        <w:t>东莞市南城街道体育路南城段26号盈锋商务中心2栋708室（西区708室）</w:t>
      </w:r>
    </w:p>
    <w:p>
      <w:pPr>
        <w:spacing w:line="360" w:lineRule="auto"/>
        <w:ind w:firstLine="420" w:firstLineChars="200"/>
        <w:rPr>
          <w:rFonts w:hAnsi="宋体"/>
          <w:color w:val="auto"/>
          <w:sz w:val="21"/>
          <w:szCs w:val="21"/>
          <w:highlight w:val="none"/>
          <w:u w:val="single"/>
        </w:rPr>
      </w:pPr>
      <w:bookmarkStart w:id="46" w:name="_Toc28359010"/>
      <w:bookmarkStart w:id="47" w:name="_Toc28359087"/>
      <w:r>
        <w:rPr>
          <w:rFonts w:hint="eastAsia" w:hAnsi="宋体" w:cs="宋体"/>
          <w:color w:val="auto"/>
          <w:sz w:val="21"/>
          <w:szCs w:val="21"/>
          <w:highlight w:val="none"/>
        </w:rPr>
        <w:t>3.项目</w:t>
      </w:r>
      <w:r>
        <w:rPr>
          <w:rFonts w:hAnsi="宋体" w:cs="宋体"/>
          <w:color w:val="auto"/>
          <w:sz w:val="21"/>
          <w:szCs w:val="21"/>
          <w:highlight w:val="none"/>
        </w:rPr>
        <w:t>联系方式</w:t>
      </w:r>
      <w:bookmarkEnd w:id="46"/>
      <w:bookmarkEnd w:id="47"/>
    </w:p>
    <w:p>
      <w:pPr>
        <w:widowControl/>
        <w:adjustRightInd/>
        <w:spacing w:line="360" w:lineRule="auto"/>
        <w:ind w:firstLine="420" w:firstLineChars="200"/>
        <w:rPr>
          <w:rFonts w:hAnsi="宋体"/>
          <w:color w:val="auto"/>
          <w:sz w:val="21"/>
          <w:szCs w:val="21"/>
          <w:highlight w:val="none"/>
        </w:rPr>
      </w:pPr>
      <w:r>
        <w:rPr>
          <w:rFonts w:hint="eastAsia" w:hAnsi="宋体"/>
          <w:color w:val="auto"/>
          <w:sz w:val="21"/>
          <w:szCs w:val="21"/>
          <w:highlight w:val="none"/>
        </w:rPr>
        <w:t>项目联系人：叶</w:t>
      </w:r>
      <w:r>
        <w:rPr>
          <w:rFonts w:hint="eastAsia" w:hAnsi="宋体"/>
          <w:color w:val="auto"/>
          <w:sz w:val="21"/>
          <w:szCs w:val="21"/>
          <w:highlight w:val="none"/>
          <w:lang w:val="en-US" w:eastAsia="zh-CN"/>
        </w:rPr>
        <w:t>工、杨工</w:t>
      </w:r>
      <w:r>
        <w:rPr>
          <w:rFonts w:hint="eastAsia" w:hAnsi="宋体"/>
          <w:color w:val="auto"/>
          <w:sz w:val="21"/>
          <w:szCs w:val="21"/>
          <w:highlight w:val="none"/>
        </w:rPr>
        <w:t xml:space="preserve">                     电　话：</w:t>
      </w:r>
      <w:bookmarkEnd w:id="2"/>
      <w:r>
        <w:rPr>
          <w:rFonts w:hint="eastAsia" w:hAnsi="宋体"/>
          <w:color w:val="auto"/>
          <w:sz w:val="21"/>
          <w:szCs w:val="21"/>
          <w:highlight w:val="none"/>
        </w:rPr>
        <w:t>0769-22224212</w:t>
      </w:r>
    </w:p>
    <w:p>
      <w:pPr>
        <w:pStyle w:val="2"/>
        <w:keepNext/>
        <w:keepLines/>
        <w:pageBreakBefore/>
        <w:numPr>
          <w:ilvl w:val="0"/>
          <w:numId w:val="7"/>
        </w:numPr>
        <w:tabs>
          <w:tab w:val="left" w:pos="1080"/>
        </w:tabs>
        <w:spacing w:line="360" w:lineRule="auto"/>
        <w:ind w:left="1262" w:hanging="1262" w:hangingChars="449"/>
        <w:jc w:val="center"/>
        <w:rPr>
          <w:rFonts w:hAnsi="宋体"/>
          <w:color w:val="auto"/>
          <w:highlight w:val="none"/>
        </w:rPr>
      </w:pPr>
      <w:bookmarkStart w:id="48" w:name="_Toc396137230"/>
      <w:r>
        <w:rPr>
          <w:rFonts w:hint="eastAsia" w:hAnsi="宋体"/>
          <w:b/>
          <w:bCs/>
          <w:color w:val="auto"/>
          <w:kern w:val="44"/>
          <w:sz w:val="28"/>
          <w:szCs w:val="28"/>
          <w:highlight w:val="none"/>
        </w:rPr>
        <w:t xml:space="preserve"> </w:t>
      </w:r>
      <w:bookmarkStart w:id="49" w:name="_Toc12386"/>
      <w:r>
        <w:rPr>
          <w:rFonts w:hint="eastAsia" w:hAnsi="宋体"/>
          <w:b/>
          <w:bCs/>
          <w:color w:val="auto"/>
          <w:kern w:val="44"/>
          <w:sz w:val="28"/>
          <w:szCs w:val="28"/>
          <w:highlight w:val="none"/>
          <w:lang w:val="zh-CN"/>
        </w:rPr>
        <w:t>采购需求书</w:t>
      </w:r>
      <w:bookmarkEnd w:id="49"/>
    </w:p>
    <w:p>
      <w:pPr>
        <w:pStyle w:val="186"/>
        <w:spacing w:line="360" w:lineRule="auto"/>
        <w:rPr>
          <w:rFonts w:hint="eastAsia" w:ascii="宋体" w:hAnsi="宋体" w:eastAsia="宋体" w:cs="宋体"/>
          <w:color w:val="auto"/>
          <w:sz w:val="21"/>
          <w:szCs w:val="21"/>
          <w:highlight w:val="none"/>
          <w:lang w:eastAsia="zh-CN"/>
        </w:rPr>
      </w:pPr>
      <w:r>
        <w:rPr>
          <w:rFonts w:hint="eastAsia" w:ascii="宋体" w:hAnsi="宋体" w:eastAsia="宋体" w:cs="宋体"/>
          <w:b w:val="0"/>
          <w:bCs w:val="0"/>
          <w:color w:val="auto"/>
          <w:kern w:val="44"/>
          <w:sz w:val="21"/>
          <w:szCs w:val="21"/>
          <w:highlight w:val="none"/>
          <w:lang w:val="en-US" w:eastAsia="zh-CN"/>
        </w:rPr>
        <w:t>说明：</w:t>
      </w:r>
      <w:r>
        <w:rPr>
          <w:rFonts w:ascii="宋体" w:hAnsi="宋体" w:eastAsia="宋体" w:cs="宋体"/>
          <w:color w:val="auto"/>
          <w:sz w:val="21"/>
          <w:szCs w:val="21"/>
          <w:highlight w:val="none"/>
        </w:rPr>
        <w:t xml:space="preserve"> 打“★”号条款为实质性条款，若有任何一条负偏离或不满足则导致投标无效。 </w:t>
      </w:r>
    </w:p>
    <w:p>
      <w:pPr>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rPr>
        <w:t>打“▲”号条款为重要技术参数，若有部分“▲”条款未响应或不满足，将导致其响应性评审加重扣分，但不作为无效投标条款。</w:t>
      </w:r>
    </w:p>
    <w:p>
      <w:pPr>
        <w:keepNext w:val="0"/>
        <w:keepLines w:val="0"/>
        <w:pageBreakBefore w:val="0"/>
        <w:widowControl w:val="0"/>
        <w:numPr>
          <w:ilvl w:val="1"/>
          <w:numId w:val="8"/>
        </w:numPr>
        <w:kinsoku/>
        <w:wordWrap/>
        <w:overflowPunct/>
        <w:topLinePunct w:val="0"/>
        <w:autoSpaceDE/>
        <w:autoSpaceDN/>
        <w:bidi w:val="0"/>
        <w:adjustRightInd/>
        <w:snapToGrid/>
        <w:spacing w:before="157" w:beforeLines="50" w:after="157" w:afterLines="50" w:line="360" w:lineRule="auto"/>
        <w:ind w:left="425" w:hanging="425"/>
        <w:jc w:val="both"/>
        <w:textAlignment w:val="auto"/>
        <w:outlineLvl w:val="1"/>
        <w:rPr>
          <w:rFonts w:hint="eastAsia" w:hAnsi="宋体"/>
          <w:b/>
          <w:bCs/>
          <w:color w:val="auto"/>
          <w:kern w:val="2"/>
          <w:highlight w:val="none"/>
        </w:rPr>
      </w:pPr>
      <w:bookmarkStart w:id="50" w:name="_Toc7782"/>
      <w:r>
        <w:rPr>
          <w:rFonts w:hint="eastAsia" w:hAnsi="宋体"/>
          <w:b/>
          <w:bCs/>
          <w:color w:val="auto"/>
          <w:kern w:val="2"/>
          <w:highlight w:val="none"/>
        </w:rPr>
        <w:t>主要商务要求</w:t>
      </w:r>
      <w:bookmarkEnd w:id="50"/>
    </w:p>
    <w:tbl>
      <w:tblPr>
        <w:tblStyle w:val="48"/>
        <w:tblW w:w="5000" w:type="pct"/>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2245"/>
        <w:gridCol w:w="6277"/>
      </w:tblGrid>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317" w:type="pct"/>
            <w:vAlign w:val="center"/>
          </w:tcPr>
          <w:p>
            <w:pPr>
              <w:spacing w:line="420" w:lineRule="exact"/>
              <w:jc w:val="center"/>
              <w:rPr>
                <w:rFonts w:hAnsi="宋体" w:cs="宋体"/>
                <w:color w:val="auto"/>
                <w:sz w:val="21"/>
                <w:szCs w:val="21"/>
                <w:highlight w:val="none"/>
              </w:rPr>
            </w:pPr>
            <w:r>
              <w:rPr>
                <w:rFonts w:hint="eastAsia" w:hAnsi="宋体" w:cs="宋体"/>
                <w:color w:val="auto"/>
                <w:sz w:val="21"/>
                <w:szCs w:val="21"/>
                <w:highlight w:val="none"/>
              </w:rPr>
              <w:t>标的提供的时间</w:t>
            </w:r>
          </w:p>
        </w:tc>
        <w:tc>
          <w:tcPr>
            <w:tcW w:w="3682" w:type="pct"/>
          </w:tcPr>
          <w:p>
            <w:pPr>
              <w:spacing w:line="420" w:lineRule="exact"/>
              <w:rPr>
                <w:rFonts w:hAnsi="宋体" w:cs="宋体"/>
                <w:color w:val="auto"/>
                <w:sz w:val="21"/>
                <w:szCs w:val="21"/>
                <w:highlight w:val="none"/>
              </w:rPr>
            </w:pPr>
            <w:r>
              <w:rPr>
                <w:rFonts w:hint="eastAsia" w:hAnsi="宋体"/>
                <w:color w:val="auto"/>
                <w:sz w:val="21"/>
                <w:szCs w:val="21"/>
                <w:highlight w:val="none"/>
              </w:rPr>
              <w:t>本项目的规划设计工作服务期为12个月</w:t>
            </w:r>
            <w:r>
              <w:rPr>
                <w:rFonts w:hint="eastAsia" w:hAnsi="宋体" w:cs="宋体"/>
                <w:color w:val="auto"/>
                <w:sz w:val="21"/>
                <w:szCs w:val="21"/>
                <w:highlight w:val="none"/>
              </w:rPr>
              <w:t>。</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317" w:type="pct"/>
            <w:vAlign w:val="center"/>
          </w:tcPr>
          <w:p>
            <w:pPr>
              <w:spacing w:line="420" w:lineRule="exact"/>
              <w:jc w:val="center"/>
              <w:rPr>
                <w:rFonts w:hAnsi="宋体" w:cs="宋体"/>
                <w:color w:val="auto"/>
                <w:sz w:val="21"/>
                <w:szCs w:val="21"/>
                <w:highlight w:val="none"/>
              </w:rPr>
            </w:pPr>
            <w:r>
              <w:rPr>
                <w:rFonts w:hint="eastAsia" w:hAnsi="宋体" w:cs="宋体"/>
                <w:color w:val="auto"/>
                <w:sz w:val="21"/>
                <w:szCs w:val="21"/>
                <w:highlight w:val="none"/>
              </w:rPr>
              <w:t>标的提供的地点</w:t>
            </w:r>
          </w:p>
        </w:tc>
        <w:tc>
          <w:tcPr>
            <w:tcW w:w="3682" w:type="pct"/>
          </w:tcPr>
          <w:p>
            <w:pPr>
              <w:spacing w:line="420" w:lineRule="exact"/>
              <w:rPr>
                <w:rFonts w:hAnsi="宋体" w:cs="宋体"/>
                <w:color w:val="auto"/>
                <w:sz w:val="21"/>
                <w:szCs w:val="21"/>
                <w:highlight w:val="none"/>
              </w:rPr>
            </w:pPr>
            <w:r>
              <w:rPr>
                <w:rFonts w:hint="eastAsia" w:hAnsi="宋体" w:cs="宋体"/>
                <w:color w:val="auto"/>
                <w:sz w:val="21"/>
                <w:szCs w:val="21"/>
                <w:highlight w:val="none"/>
              </w:rPr>
              <w:t>采购人指定地点。（如有变化另行确定）</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317" w:type="pct"/>
            <w:vAlign w:val="center"/>
          </w:tcPr>
          <w:p>
            <w:pPr>
              <w:spacing w:line="420" w:lineRule="exact"/>
              <w:jc w:val="center"/>
              <w:rPr>
                <w:rFonts w:hAnsi="宋体" w:cs="宋体"/>
                <w:color w:val="auto"/>
                <w:sz w:val="21"/>
                <w:szCs w:val="21"/>
                <w:highlight w:val="none"/>
              </w:rPr>
            </w:pPr>
            <w:r>
              <w:rPr>
                <w:rFonts w:hint="eastAsia" w:hAnsi="宋体" w:cs="宋体"/>
                <w:color w:val="auto"/>
                <w:sz w:val="21"/>
                <w:szCs w:val="21"/>
                <w:highlight w:val="none"/>
              </w:rPr>
              <w:t>付款方式</w:t>
            </w:r>
          </w:p>
        </w:tc>
        <w:tc>
          <w:tcPr>
            <w:tcW w:w="3682" w:type="pct"/>
          </w:tcPr>
          <w:p>
            <w:pPr>
              <w:spacing w:line="420" w:lineRule="exact"/>
              <w:rPr>
                <w:rFonts w:hAnsi="宋体" w:cs="宋体"/>
                <w:color w:val="auto"/>
                <w:sz w:val="21"/>
                <w:szCs w:val="21"/>
                <w:highlight w:val="none"/>
              </w:rPr>
            </w:pPr>
            <w:r>
              <w:rPr>
                <w:rFonts w:hint="eastAsia" w:hAnsi="宋体" w:cs="宋体"/>
                <w:color w:val="auto"/>
                <w:sz w:val="21"/>
                <w:szCs w:val="21"/>
                <w:highlight w:val="none"/>
              </w:rPr>
              <w:t>具体支付方式和时间如下：</w:t>
            </w:r>
          </w:p>
          <w:p>
            <w:pPr>
              <w:spacing w:line="420" w:lineRule="exact"/>
              <w:rPr>
                <w:rFonts w:hAnsi="宋体" w:cs="宋体"/>
                <w:color w:val="auto"/>
                <w:sz w:val="21"/>
                <w:szCs w:val="21"/>
                <w:highlight w:val="none"/>
              </w:rPr>
            </w:pPr>
            <w:r>
              <w:rPr>
                <w:rFonts w:hint="eastAsia" w:hAnsi="宋体" w:cs="宋体"/>
                <w:color w:val="auto"/>
                <w:sz w:val="21"/>
                <w:szCs w:val="21"/>
                <w:highlight w:val="none"/>
              </w:rPr>
              <w:t>第一期：合同生效后七日内，采购人支付合同总价的30%。</w:t>
            </w:r>
          </w:p>
          <w:p>
            <w:pPr>
              <w:spacing w:line="420" w:lineRule="exact"/>
              <w:rPr>
                <w:rFonts w:hAnsi="宋体" w:cs="宋体"/>
                <w:color w:val="auto"/>
                <w:sz w:val="21"/>
                <w:szCs w:val="21"/>
                <w:highlight w:val="none"/>
              </w:rPr>
            </w:pPr>
            <w:r>
              <w:rPr>
                <w:rFonts w:hint="eastAsia" w:hAnsi="宋体" w:cs="宋体"/>
                <w:color w:val="auto"/>
                <w:sz w:val="21"/>
                <w:szCs w:val="21"/>
                <w:highlight w:val="none"/>
              </w:rPr>
              <w:t>第二期：项目提交初步成果并经采购人审核同意后七日内，采购人支付合同总价的20%。</w:t>
            </w:r>
          </w:p>
          <w:p>
            <w:pPr>
              <w:spacing w:line="420" w:lineRule="exact"/>
              <w:rPr>
                <w:rFonts w:hAnsi="宋体" w:cs="宋体"/>
                <w:color w:val="auto"/>
                <w:sz w:val="21"/>
                <w:szCs w:val="21"/>
                <w:highlight w:val="none"/>
              </w:rPr>
            </w:pPr>
            <w:r>
              <w:rPr>
                <w:rFonts w:hint="eastAsia" w:hAnsi="宋体" w:cs="宋体"/>
                <w:color w:val="auto"/>
                <w:sz w:val="21"/>
                <w:szCs w:val="21"/>
                <w:highlight w:val="none"/>
              </w:rPr>
              <w:t>第三期：项目提交中期成果并经采购人审核同意后七日内，采购人支付合同总价的40%；</w:t>
            </w:r>
          </w:p>
          <w:p>
            <w:pPr>
              <w:spacing w:line="420" w:lineRule="exact"/>
              <w:rPr>
                <w:rFonts w:hAnsi="宋体" w:cs="宋体"/>
                <w:color w:val="auto"/>
                <w:sz w:val="21"/>
                <w:szCs w:val="21"/>
                <w:highlight w:val="none"/>
              </w:rPr>
            </w:pPr>
            <w:r>
              <w:rPr>
                <w:rFonts w:hint="eastAsia" w:hAnsi="宋体" w:cs="宋体"/>
                <w:color w:val="auto"/>
                <w:sz w:val="21"/>
                <w:szCs w:val="21"/>
                <w:highlight w:val="none"/>
              </w:rPr>
              <w:t>第四期：项目提交最终成果并经采购人及东莞市“百千万工程”指挥部审核同意后七日内，采购人支付合同总价的10%。</w:t>
            </w:r>
          </w:p>
          <w:p>
            <w:pPr>
              <w:spacing w:line="420" w:lineRule="exact"/>
              <w:rPr>
                <w:rFonts w:hAnsi="宋体" w:cs="宋体"/>
                <w:color w:val="auto"/>
                <w:sz w:val="21"/>
                <w:szCs w:val="21"/>
                <w:highlight w:val="none"/>
              </w:rPr>
            </w:pPr>
            <w:r>
              <w:rPr>
                <w:rFonts w:hint="eastAsia" w:hAnsi="宋体" w:cs="宋体"/>
                <w:color w:val="auto"/>
                <w:sz w:val="21"/>
                <w:szCs w:val="21"/>
                <w:highlight w:val="none"/>
              </w:rPr>
              <w:t>备注：成交供应商每次收款前向采购方开具等额的正式发票。收款方出具的发票、合同，均必须与成交供应商名称一致。采购人收到发票后，在七日内支付对应的费用。</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317" w:type="pct"/>
            <w:vAlign w:val="center"/>
          </w:tcPr>
          <w:p>
            <w:pPr>
              <w:spacing w:line="420" w:lineRule="exact"/>
              <w:jc w:val="center"/>
              <w:rPr>
                <w:rFonts w:hAnsi="宋体" w:cs="宋体"/>
                <w:color w:val="auto"/>
                <w:sz w:val="21"/>
                <w:szCs w:val="21"/>
                <w:highlight w:val="none"/>
              </w:rPr>
            </w:pPr>
            <w:r>
              <w:rPr>
                <w:rFonts w:hint="eastAsia" w:hAnsi="宋体" w:cs="宋体"/>
                <w:color w:val="auto"/>
                <w:sz w:val="21"/>
                <w:szCs w:val="21"/>
                <w:highlight w:val="none"/>
              </w:rPr>
              <w:t>验收要求</w:t>
            </w:r>
          </w:p>
        </w:tc>
        <w:tc>
          <w:tcPr>
            <w:tcW w:w="3682" w:type="pct"/>
          </w:tcPr>
          <w:p>
            <w:pPr>
              <w:spacing w:line="420" w:lineRule="exact"/>
              <w:rPr>
                <w:rFonts w:hAnsi="宋体" w:cs="宋体"/>
                <w:color w:val="auto"/>
                <w:sz w:val="21"/>
                <w:szCs w:val="21"/>
                <w:highlight w:val="none"/>
              </w:rPr>
            </w:pPr>
            <w:r>
              <w:rPr>
                <w:rFonts w:hint="eastAsia" w:hAnsi="宋体" w:cs="宋体"/>
                <w:color w:val="auto"/>
                <w:sz w:val="21"/>
                <w:szCs w:val="21"/>
                <w:highlight w:val="none"/>
              </w:rPr>
              <w:t>成果符合国家相关法律法规及行业现行规范、标准</w:t>
            </w:r>
            <w:r>
              <w:rPr>
                <w:rFonts w:hint="eastAsia" w:hAnsi="宋体" w:cs="宋体"/>
                <w:color w:val="auto"/>
                <w:sz w:val="21"/>
                <w:szCs w:val="21"/>
                <w:highlight w:val="none"/>
                <w:lang w:val="en-US" w:eastAsia="zh-CN"/>
              </w:rPr>
              <w:t>以及“百千万工程”相关要求</w:t>
            </w:r>
            <w:r>
              <w:rPr>
                <w:rFonts w:hint="eastAsia" w:hAnsi="宋体" w:cs="宋体"/>
                <w:color w:val="auto"/>
                <w:sz w:val="21"/>
                <w:szCs w:val="21"/>
                <w:highlight w:val="none"/>
              </w:rPr>
              <w:t>等，按照成交供应商投标文件的承诺，完成磋商文件采购人需求书中的工作，</w:t>
            </w:r>
            <w:r>
              <w:rPr>
                <w:rFonts w:hint="eastAsia" w:hAnsi="宋体" w:cs="宋体"/>
                <w:color w:val="auto"/>
                <w:sz w:val="21"/>
                <w:szCs w:val="21"/>
                <w:highlight w:val="none"/>
                <w:lang w:val="en-US" w:eastAsia="zh-CN"/>
              </w:rPr>
              <w:t>经由</w:t>
            </w:r>
            <w:r>
              <w:rPr>
                <w:rFonts w:hint="eastAsia" w:hAnsi="宋体" w:cs="宋体"/>
                <w:color w:val="auto"/>
                <w:sz w:val="21"/>
                <w:szCs w:val="21"/>
                <w:highlight w:val="none"/>
              </w:rPr>
              <w:t>采购人确认后予以验收。</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317" w:type="pct"/>
            <w:vAlign w:val="center"/>
          </w:tcPr>
          <w:p>
            <w:pPr>
              <w:spacing w:line="420" w:lineRule="exact"/>
              <w:jc w:val="center"/>
              <w:rPr>
                <w:rFonts w:hAnsi="宋体" w:cs="宋体"/>
                <w:color w:val="auto"/>
                <w:sz w:val="21"/>
                <w:szCs w:val="21"/>
                <w:highlight w:val="none"/>
              </w:rPr>
            </w:pPr>
            <w:r>
              <w:rPr>
                <w:rFonts w:hint="eastAsia" w:hAnsi="宋体" w:cs="宋体"/>
                <w:color w:val="auto"/>
                <w:sz w:val="21"/>
                <w:szCs w:val="21"/>
                <w:highlight w:val="none"/>
              </w:rPr>
              <w:t>履约保证金</w:t>
            </w:r>
          </w:p>
        </w:tc>
        <w:tc>
          <w:tcPr>
            <w:tcW w:w="3682" w:type="pct"/>
          </w:tcPr>
          <w:p>
            <w:pPr>
              <w:spacing w:line="420" w:lineRule="exact"/>
              <w:rPr>
                <w:rFonts w:hAnsi="宋体" w:cs="宋体"/>
                <w:color w:val="auto"/>
                <w:sz w:val="21"/>
                <w:szCs w:val="21"/>
                <w:highlight w:val="none"/>
              </w:rPr>
            </w:pPr>
            <w:r>
              <w:rPr>
                <w:rFonts w:hint="eastAsia" w:hAnsi="宋体" w:cs="宋体"/>
                <w:color w:val="auto"/>
                <w:sz w:val="21"/>
                <w:szCs w:val="21"/>
                <w:highlight w:val="none"/>
              </w:rPr>
              <w:t>不收取。</w:t>
            </w:r>
          </w:p>
        </w:tc>
      </w:tr>
      <w:tr>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1317" w:type="pct"/>
            <w:vAlign w:val="center"/>
          </w:tcPr>
          <w:p>
            <w:pPr>
              <w:spacing w:line="420" w:lineRule="exact"/>
              <w:jc w:val="center"/>
              <w:rPr>
                <w:rFonts w:hAnsi="宋体" w:cs="宋体"/>
                <w:color w:val="auto"/>
                <w:sz w:val="21"/>
                <w:szCs w:val="21"/>
                <w:highlight w:val="none"/>
              </w:rPr>
            </w:pPr>
            <w:r>
              <w:rPr>
                <w:rFonts w:hint="eastAsia" w:hAnsi="宋体" w:cs="宋体"/>
                <w:color w:val="auto"/>
                <w:sz w:val="21"/>
                <w:szCs w:val="21"/>
                <w:highlight w:val="none"/>
              </w:rPr>
              <w:t>其他</w:t>
            </w:r>
          </w:p>
        </w:tc>
        <w:tc>
          <w:tcPr>
            <w:tcW w:w="3682" w:type="pct"/>
          </w:tcPr>
          <w:p>
            <w:pPr>
              <w:spacing w:line="420" w:lineRule="exact"/>
              <w:rPr>
                <w:rFonts w:hAnsi="宋体" w:cs="宋体"/>
                <w:color w:val="auto"/>
                <w:sz w:val="21"/>
                <w:szCs w:val="21"/>
                <w:highlight w:val="none"/>
              </w:rPr>
            </w:pPr>
            <w:r>
              <w:rPr>
                <w:rFonts w:hint="eastAsia" w:hAnsi="宋体" w:cs="宋体"/>
                <w:color w:val="auto"/>
                <w:sz w:val="21"/>
                <w:szCs w:val="21"/>
                <w:highlight w:val="none"/>
              </w:rPr>
              <w:t>其他:①本项目的报价和结算支付均以人民币为货币单位。实行总包干价。②报价为完成本项目的全部费用。包括完成本项目的人力成本、材料设备成本、管理费、利润、税金、</w:t>
            </w:r>
            <w:r>
              <w:rPr>
                <w:rFonts w:hint="eastAsia" w:hAnsi="宋体" w:cs="宋体"/>
                <w:color w:val="auto"/>
                <w:sz w:val="21"/>
                <w:szCs w:val="21"/>
                <w:highlight w:val="none"/>
                <w:lang w:val="en-US" w:eastAsia="zh-CN"/>
              </w:rPr>
              <w:t>编制设计费、后期服务费、差旅费、</w:t>
            </w:r>
            <w:r>
              <w:rPr>
                <w:rFonts w:hint="eastAsia" w:hAnsi="宋体" w:cs="宋体"/>
                <w:color w:val="auto"/>
                <w:sz w:val="21"/>
                <w:szCs w:val="21"/>
                <w:highlight w:val="none"/>
              </w:rPr>
              <w:t>其它费用等，该价格包含供应商在履行本合同过程中应当预见及不可预见的全部费用。供应商漏报或不报，采购人将视为该漏报或不报部分的费用已包括在已报的分项报价中不予支付。③成交供应商必须自行考虑在本项目实施期间的一切可能产生的费用，在项目的实施过程中，采购人除了支付合同规定的款项外，一切合同规定外的费用将拒绝支付。④合同条款：供应商实质响应合同条款。⑤现场考察和标前答疑会:本项目不举行现场考察和标前答疑会。⑥保密要求:未经采购人书面授权同意，本项目过程中至项目完成后任何时间段，成交供应商必须采取有效措施对获悉和取得的数据、资料保密。因成交供应商原因导致上述数据、资料为第三人知晓的，成交供应商除承担一切责任外，还须向采购人支付采购人已支付项目款的100%作为赔偿金。</w:t>
            </w:r>
          </w:p>
        </w:tc>
      </w:tr>
    </w:tbl>
    <w:p>
      <w:pPr>
        <w:spacing w:line="360" w:lineRule="auto"/>
        <w:rPr>
          <w:rFonts w:hAnsi="宋体"/>
          <w:color w:val="auto"/>
          <w:highlight w:val="none"/>
        </w:rPr>
      </w:pPr>
    </w:p>
    <w:p>
      <w:pPr>
        <w:keepNext w:val="0"/>
        <w:keepLines w:val="0"/>
        <w:pageBreakBefore w:val="0"/>
        <w:widowControl w:val="0"/>
        <w:numPr>
          <w:ilvl w:val="1"/>
          <w:numId w:val="8"/>
        </w:numPr>
        <w:kinsoku/>
        <w:wordWrap/>
        <w:overflowPunct/>
        <w:topLinePunct w:val="0"/>
        <w:autoSpaceDE/>
        <w:autoSpaceDN/>
        <w:bidi w:val="0"/>
        <w:adjustRightInd/>
        <w:snapToGrid/>
        <w:spacing w:before="157" w:beforeLines="50" w:after="157" w:afterLines="50" w:line="360" w:lineRule="auto"/>
        <w:ind w:left="425" w:hanging="425"/>
        <w:jc w:val="both"/>
        <w:textAlignment w:val="auto"/>
        <w:outlineLvl w:val="1"/>
        <w:rPr>
          <w:rFonts w:hAnsi="宋体" w:cs="宋体"/>
          <w:color w:val="auto"/>
          <w:kern w:val="2"/>
          <w:highlight w:val="none"/>
        </w:rPr>
      </w:pPr>
      <w:bookmarkStart w:id="51" w:name="_Toc26466"/>
      <w:r>
        <w:rPr>
          <w:rFonts w:hint="eastAsia" w:hAnsi="宋体"/>
          <w:b/>
          <w:bCs/>
          <w:color w:val="auto"/>
          <w:kern w:val="2"/>
          <w:highlight w:val="none"/>
        </w:rPr>
        <w:t>项目概况</w:t>
      </w:r>
      <w:bookmarkEnd w:id="51"/>
    </w:p>
    <w:p>
      <w:pPr>
        <w:widowControl/>
        <w:numPr>
          <w:ilvl w:val="0"/>
          <w:numId w:val="9"/>
        </w:numPr>
        <w:spacing w:line="360" w:lineRule="auto"/>
        <w:ind w:firstLine="0" w:firstLineChars="0"/>
        <w:rPr>
          <w:rFonts w:hint="eastAsia" w:hAnsi="宋体" w:cs="宋体"/>
          <w:b/>
          <w:bCs w:val="0"/>
          <w:color w:val="auto"/>
          <w:sz w:val="21"/>
          <w:szCs w:val="21"/>
          <w:highlight w:val="none"/>
        </w:rPr>
      </w:pPr>
      <w:r>
        <w:rPr>
          <w:b/>
          <w:bCs w:val="0"/>
          <w:color w:val="auto"/>
          <w:sz w:val="21"/>
          <w:szCs w:val="21"/>
          <w:highlight w:val="none"/>
        </w:rPr>
        <w:t>项目背景</w:t>
      </w:r>
    </w:p>
    <w:p>
      <w:pPr>
        <w:widowControl/>
        <w:spacing w:line="360" w:lineRule="auto"/>
        <w:ind w:firstLine="420" w:firstLineChars="200"/>
        <w:rPr>
          <w:rFonts w:hint="eastAsia" w:hAnsi="宋体" w:cs="宋体"/>
          <w:color w:val="auto"/>
          <w:sz w:val="21"/>
          <w:szCs w:val="21"/>
          <w:highlight w:val="none"/>
          <w:lang w:eastAsia="zh-CN"/>
        </w:rPr>
      </w:pPr>
      <w:r>
        <w:rPr>
          <w:rFonts w:hint="eastAsia" w:hAnsi="宋体" w:cs="宋体"/>
          <w:color w:val="auto"/>
          <w:sz w:val="21"/>
          <w:szCs w:val="21"/>
          <w:highlight w:val="none"/>
        </w:rPr>
        <w:t>霄边社区典型村“百千万工程”建设提升规划编制。为做好广东省“百县千镇万村高质量发展工程”（以下简称“百千万工程”）典型村评价工作，霄边社区入选第二批省典型村备选名单</w:t>
      </w:r>
      <w:r>
        <w:rPr>
          <w:rFonts w:hint="eastAsia" w:hAnsi="宋体" w:cs="宋体"/>
          <w:color w:val="auto"/>
          <w:sz w:val="21"/>
          <w:szCs w:val="21"/>
          <w:highlight w:val="none"/>
          <w:lang w:eastAsia="zh-CN"/>
        </w:rPr>
        <w:t>，依据长安镇“百千万工程”指挥部办公室《关于加快推进典型社区建设工作的通知》，霄边社区要加快编制完善“四个一”，形成“一个规划、一个方案、一个项目库、一张诉求清单”，其中“一个规划”需编制《霄边社区“百千万工程”建设规划》。</w:t>
      </w:r>
    </w:p>
    <w:p>
      <w:pPr>
        <w:widowControl/>
        <w:spacing w:line="360" w:lineRule="auto"/>
        <w:ind w:firstLine="420" w:firstLineChars="200"/>
        <w:rPr>
          <w:rFonts w:hint="eastAsia" w:hAnsi="宋体" w:cs="宋体"/>
          <w:color w:val="auto"/>
          <w:sz w:val="21"/>
          <w:szCs w:val="21"/>
          <w:highlight w:val="none"/>
          <w:lang w:eastAsia="zh-CN"/>
        </w:rPr>
      </w:pPr>
      <w:r>
        <w:rPr>
          <w:rFonts w:hint="eastAsia" w:hAnsi="宋体" w:cs="宋体"/>
          <w:color w:val="auto"/>
          <w:sz w:val="21"/>
          <w:szCs w:val="21"/>
          <w:highlight w:val="none"/>
          <w:lang w:val="en-US" w:eastAsia="zh-CN"/>
        </w:rPr>
        <w:t>根据</w:t>
      </w:r>
      <w:r>
        <w:rPr>
          <w:rFonts w:hint="eastAsia" w:hAnsi="宋体" w:cs="宋体"/>
          <w:color w:val="auto"/>
          <w:sz w:val="21"/>
          <w:szCs w:val="21"/>
          <w:highlight w:val="none"/>
          <w:lang w:eastAsia="zh-CN"/>
        </w:rPr>
        <w:t>《典型村“百千万工程”建设提升规划编制指引》要求，编制《霄边社区“百千万工程”建设规划》，完成现状分析、目标定位、国土空间布局、集中展示线路策划、近期实施计划、规划实施保障等六方面内容并满足省典型村人居环境、风貌提升、绿美建设、生产生活设施、公共服务、乡风文明、乡村治理、集体经济、农民增收九方面重点任务编制要求。成果内容包含一“书”：规划说明书，两“库”：近期建设项目库和矢量数据库，及必要规划图纸。</w:t>
      </w:r>
    </w:p>
    <w:p>
      <w:pPr>
        <w:widowControl/>
        <w:numPr>
          <w:ilvl w:val="0"/>
          <w:numId w:val="9"/>
        </w:numPr>
        <w:spacing w:line="360" w:lineRule="auto"/>
        <w:ind w:firstLine="0" w:firstLineChars="0"/>
        <w:rPr>
          <w:rFonts w:hint="eastAsia" w:hAnsi="宋体" w:cs="宋体"/>
          <w:b/>
          <w:bCs w:val="0"/>
          <w:color w:val="auto"/>
          <w:sz w:val="21"/>
          <w:szCs w:val="21"/>
          <w:highlight w:val="none"/>
        </w:rPr>
      </w:pPr>
      <w:r>
        <w:rPr>
          <w:b/>
          <w:color w:val="auto"/>
          <w:sz w:val="21"/>
          <w:szCs w:val="21"/>
          <w:highlight w:val="none"/>
        </w:rPr>
        <w:t>工作范围</w:t>
      </w:r>
    </w:p>
    <w:p>
      <w:pPr>
        <w:widowControl/>
        <w:numPr>
          <w:ilvl w:val="-1"/>
          <w:numId w:val="0"/>
        </w:numPr>
        <w:spacing w:line="360" w:lineRule="auto"/>
        <w:ind w:firstLine="420" w:firstLineChars="200"/>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霄边社区规划总面积913.5公顷，剖去北部林地、水域等非建设区域，剩余建设用地面积约为 473.6公顷。</w:t>
      </w:r>
    </w:p>
    <w:p>
      <w:pPr>
        <w:widowControl/>
        <w:numPr>
          <w:ilvl w:val="-1"/>
          <w:numId w:val="0"/>
        </w:numPr>
        <w:spacing w:line="360" w:lineRule="auto"/>
        <w:ind w:firstLine="420" w:firstLineChars="200"/>
        <w:rPr>
          <w:rFonts w:hint="eastAsia" w:hAnsi="宋体" w:cs="宋体"/>
          <w:b w:val="0"/>
          <w:bCs w:val="0"/>
          <w:color w:val="auto"/>
          <w:sz w:val="21"/>
          <w:szCs w:val="21"/>
          <w:highlight w:val="none"/>
        </w:rPr>
      </w:pPr>
      <w:r>
        <w:rPr>
          <w:rFonts w:hint="eastAsia" w:ascii="宋体" w:hAnsi="宋体" w:eastAsia="宋体" w:cs="宋体"/>
          <w:color w:val="auto"/>
          <w:sz w:val="21"/>
          <w:szCs w:val="21"/>
          <w:highlight w:val="none"/>
        </w:rPr>
        <w:t>本次规划涉及产业发展、乡村建设、全域土整等多个专业内容，难度系数取1.5。</w:t>
      </w:r>
    </w:p>
    <w:p>
      <w:pPr>
        <w:widowControl/>
        <w:spacing w:line="240" w:lineRule="auto"/>
        <w:ind w:firstLine="0" w:firstLineChars="0"/>
        <w:jc w:val="left"/>
        <w:rPr>
          <w:rFonts w:hint="eastAsia" w:hAnsi="宋体" w:cs="宋体"/>
          <w:color w:val="auto"/>
          <w:sz w:val="21"/>
          <w:szCs w:val="21"/>
          <w:highlight w:val="none"/>
          <w:lang w:val="en-US" w:eastAsia="zh-CN"/>
        </w:rPr>
      </w:pPr>
      <w:r>
        <w:rPr>
          <w:rFonts w:hint="eastAsia" w:hAnsi="宋体" w:cs="宋体"/>
          <w:color w:val="auto"/>
          <w:sz w:val="21"/>
          <w:szCs w:val="21"/>
          <w:highlight w:val="none"/>
          <w:lang w:val="en-US" w:eastAsia="zh-CN"/>
        </w:rPr>
        <w:br w:type="page"/>
      </w:r>
    </w:p>
    <w:p>
      <w:pPr>
        <w:widowControl/>
        <w:spacing w:line="360" w:lineRule="auto"/>
        <w:ind w:firstLine="420" w:firstLineChars="200"/>
        <w:jc w:val="center"/>
        <w:rPr>
          <w:rFonts w:hint="eastAsia" w:hAnsi="宋体" w:cs="宋体"/>
          <w:color w:val="auto"/>
          <w:sz w:val="21"/>
          <w:szCs w:val="21"/>
          <w:highlight w:val="none"/>
          <w:lang w:val="en-US" w:eastAsia="zh-CN"/>
        </w:rPr>
      </w:pPr>
      <w:r>
        <w:rPr>
          <w:rFonts w:hint="eastAsia" w:hAnsi="宋体" w:cs="宋体"/>
          <w:color w:val="auto"/>
          <w:sz w:val="21"/>
          <w:szCs w:val="21"/>
          <w:highlight w:val="none"/>
          <w:lang w:val="en-US" w:eastAsia="zh-CN"/>
        </w:rPr>
        <w:t>地形图</w:t>
      </w:r>
    </w:p>
    <w:p>
      <w:pPr>
        <w:widowControl/>
        <w:spacing w:line="360" w:lineRule="auto"/>
        <w:ind w:firstLine="0" w:firstLineChars="0"/>
        <w:jc w:val="center"/>
        <w:rPr>
          <w:rFonts w:hint="default" w:hAnsi="宋体" w:cs="宋体"/>
          <w:color w:val="auto"/>
          <w:sz w:val="21"/>
          <w:szCs w:val="21"/>
          <w:highlight w:val="none"/>
          <w:lang w:val="en-US" w:eastAsia="zh-CN"/>
        </w:rPr>
      </w:pPr>
      <w:r>
        <w:rPr>
          <w:rFonts w:hint="eastAsia" w:hAnsi="宋体" w:cs="宋体"/>
          <w:color w:val="auto"/>
          <w:sz w:val="21"/>
          <w:szCs w:val="21"/>
          <w:highlight w:val="none"/>
          <w:lang w:val="en-US" w:eastAsia="zh-CN"/>
        </w:rPr>
        <w:drawing>
          <wp:inline distT="0" distB="0" distL="114300" distR="114300">
            <wp:extent cx="4078605" cy="5774055"/>
            <wp:effectExtent l="0" t="0" r="17145" b="17145"/>
            <wp:docPr id="3" name="图片 3" descr="霄边总图2013.4.7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霄边总图2013.4.7_00"/>
                    <pic:cNvPicPr>
                      <a:picLocks noChangeAspect="1"/>
                    </pic:cNvPicPr>
                  </pic:nvPicPr>
                  <pic:blipFill>
                    <a:blip r:embed="rId10"/>
                    <a:stretch>
                      <a:fillRect/>
                    </a:stretch>
                  </pic:blipFill>
                  <pic:spPr>
                    <a:xfrm>
                      <a:off x="0" y="0"/>
                      <a:ext cx="4078605" cy="5774055"/>
                    </a:xfrm>
                    <a:prstGeom prst="rect">
                      <a:avLst/>
                    </a:prstGeom>
                  </pic:spPr>
                </pic:pic>
              </a:graphicData>
            </a:graphic>
          </wp:inline>
        </w:drawing>
      </w:r>
    </w:p>
    <w:p>
      <w:pPr>
        <w:keepNext w:val="0"/>
        <w:keepLines w:val="0"/>
        <w:pageBreakBefore w:val="0"/>
        <w:widowControl w:val="0"/>
        <w:numPr>
          <w:ilvl w:val="1"/>
          <w:numId w:val="8"/>
        </w:numPr>
        <w:kinsoku/>
        <w:wordWrap/>
        <w:overflowPunct/>
        <w:topLinePunct w:val="0"/>
        <w:autoSpaceDE/>
        <w:autoSpaceDN/>
        <w:bidi w:val="0"/>
        <w:adjustRightInd/>
        <w:snapToGrid/>
        <w:spacing w:before="157" w:beforeLines="50" w:after="157" w:afterLines="50" w:line="360" w:lineRule="auto"/>
        <w:ind w:left="425" w:hanging="425"/>
        <w:jc w:val="both"/>
        <w:textAlignment w:val="auto"/>
        <w:outlineLvl w:val="1"/>
        <w:rPr>
          <w:rFonts w:hint="eastAsia" w:hAnsi="宋体"/>
          <w:b/>
          <w:bCs/>
          <w:color w:val="auto"/>
          <w:kern w:val="2"/>
          <w:highlight w:val="none"/>
        </w:rPr>
      </w:pPr>
      <w:bookmarkStart w:id="52" w:name="_Toc13506"/>
      <w:r>
        <w:rPr>
          <w:rFonts w:hint="eastAsia" w:hAnsi="宋体"/>
          <w:b/>
          <w:bCs/>
          <w:color w:val="auto"/>
          <w:kern w:val="2"/>
          <w:highlight w:val="none"/>
        </w:rPr>
        <w:t>服务内容</w:t>
      </w:r>
      <w:bookmarkEnd w:id="52"/>
    </w:p>
    <w:p>
      <w:pPr>
        <w:spacing w:line="360" w:lineRule="auto"/>
        <w:ind w:firstLine="420" w:firstLineChars="200"/>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按照</w:t>
      </w:r>
      <w:r>
        <w:rPr>
          <w:rFonts w:hint="eastAsia" w:asciiTheme="minorEastAsia" w:hAnsiTheme="minorEastAsia" w:eastAsiaTheme="minorEastAsia" w:cstheme="minorEastAsia"/>
          <w:color w:val="auto"/>
          <w:sz w:val="21"/>
          <w:szCs w:val="21"/>
          <w:highlight w:val="none"/>
          <w:lang w:val="en-US" w:eastAsia="zh-CN"/>
        </w:rPr>
        <w:t>现行法规、行业规范、行业标准、“百千万工程”文件相关要求及采购人需求</w:t>
      </w:r>
      <w:r>
        <w:rPr>
          <w:rFonts w:hint="eastAsia" w:asciiTheme="minorEastAsia" w:hAnsiTheme="minorEastAsia" w:eastAsiaTheme="minorEastAsia" w:cstheme="minorEastAsia"/>
          <w:color w:val="auto"/>
          <w:sz w:val="21"/>
          <w:szCs w:val="21"/>
          <w:highlight w:val="none"/>
        </w:rPr>
        <w:t>要求完成长安镇霄边社区“百千万工程”建设规划设计项目的规划设计服务，成交供应商在项目实施过程中，应无条件配合采购人完成本项目范围内的相关事宜，接受采购人安排，及时响应。</w:t>
      </w:r>
    </w:p>
    <w:p>
      <w:pPr>
        <w:spacing w:line="360" w:lineRule="auto"/>
        <w:ind w:firstLine="420" w:firstLineChars="200"/>
        <w:rPr>
          <w:rFonts w:hint="eastAsia" w:asciiTheme="minorEastAsia" w:hAnsiTheme="minorEastAsia" w:eastAsiaTheme="minorEastAsia" w:cstheme="minorEastAsia"/>
          <w:color w:val="auto"/>
          <w:sz w:val="21"/>
          <w:szCs w:val="21"/>
          <w:highlight w:val="none"/>
          <w:lang w:eastAsia="zh-CN"/>
        </w:rPr>
      </w:pPr>
      <w:r>
        <w:rPr>
          <w:rFonts w:hint="eastAsia" w:asciiTheme="minorEastAsia" w:hAnsiTheme="minorEastAsia" w:eastAsiaTheme="minorEastAsia" w:cstheme="minorEastAsia"/>
          <w:color w:val="auto"/>
          <w:sz w:val="21"/>
          <w:szCs w:val="21"/>
          <w:highlight w:val="none"/>
          <w:lang w:eastAsia="zh-CN"/>
        </w:rPr>
        <w:t>在服务周期内，百千万工程如有新的政策需要对规划内容进行修编，中标人须</w:t>
      </w:r>
      <w:r>
        <w:rPr>
          <w:rFonts w:hint="eastAsia" w:asciiTheme="minorEastAsia" w:hAnsiTheme="minorEastAsia" w:eastAsiaTheme="minorEastAsia" w:cstheme="minorEastAsia"/>
          <w:color w:val="auto"/>
          <w:sz w:val="21"/>
          <w:szCs w:val="21"/>
          <w:highlight w:val="none"/>
          <w:lang w:val="en-US" w:eastAsia="zh-CN"/>
        </w:rPr>
        <w:t>配合采购人</w:t>
      </w:r>
      <w:r>
        <w:rPr>
          <w:rFonts w:hint="eastAsia" w:asciiTheme="minorEastAsia" w:hAnsiTheme="minorEastAsia" w:eastAsiaTheme="minorEastAsia" w:cstheme="minorEastAsia"/>
          <w:color w:val="auto"/>
          <w:sz w:val="21"/>
          <w:szCs w:val="21"/>
          <w:highlight w:val="none"/>
          <w:lang w:eastAsia="zh-CN"/>
        </w:rPr>
        <w:t>作出相应修编和完善相关资料等。</w:t>
      </w:r>
    </w:p>
    <w:p>
      <w:pPr>
        <w:keepNext w:val="0"/>
        <w:keepLines w:val="0"/>
        <w:pageBreakBefore w:val="0"/>
        <w:widowControl w:val="0"/>
        <w:numPr>
          <w:ilvl w:val="1"/>
          <w:numId w:val="8"/>
        </w:numPr>
        <w:kinsoku/>
        <w:wordWrap/>
        <w:overflowPunct/>
        <w:topLinePunct w:val="0"/>
        <w:autoSpaceDE/>
        <w:autoSpaceDN/>
        <w:bidi w:val="0"/>
        <w:adjustRightInd/>
        <w:snapToGrid/>
        <w:spacing w:before="157" w:beforeLines="50" w:after="157" w:afterLines="50" w:line="360" w:lineRule="auto"/>
        <w:ind w:left="425" w:hanging="425"/>
        <w:jc w:val="both"/>
        <w:textAlignment w:val="auto"/>
        <w:outlineLvl w:val="1"/>
        <w:rPr>
          <w:rFonts w:hint="eastAsia" w:hAnsi="宋体"/>
          <w:b/>
          <w:bCs/>
          <w:color w:val="auto"/>
          <w:kern w:val="2"/>
          <w:highlight w:val="none"/>
        </w:rPr>
      </w:pPr>
      <w:bookmarkStart w:id="53" w:name="_Toc28505"/>
      <w:r>
        <w:rPr>
          <w:rFonts w:hint="eastAsia" w:hAnsi="宋体"/>
          <w:b/>
          <w:bCs/>
          <w:color w:val="auto"/>
          <w:kern w:val="2"/>
          <w:highlight w:val="none"/>
        </w:rPr>
        <w:t>设计要求</w:t>
      </w:r>
      <w:bookmarkEnd w:id="53"/>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按照东莞市“百千万工程”指挥部办公室《关于进一步做好“百千万工程”规划编制工作的通知》</w:t>
      </w:r>
      <w:r>
        <w:rPr>
          <w:rFonts w:hint="eastAsia" w:asciiTheme="minorEastAsia" w:hAnsiTheme="minorEastAsia" w:eastAsiaTheme="minorEastAsia" w:cstheme="minorEastAsia"/>
          <w:color w:val="auto"/>
          <w:sz w:val="21"/>
          <w:szCs w:val="21"/>
          <w:highlight w:val="none"/>
          <w:lang w:eastAsia="zh-CN"/>
        </w:rPr>
        <w:t>、</w:t>
      </w:r>
      <w:r>
        <w:rPr>
          <w:rFonts w:hint="eastAsia" w:asciiTheme="minorEastAsia" w:hAnsiTheme="minorEastAsia" w:eastAsiaTheme="minorEastAsia" w:cstheme="minorEastAsia"/>
          <w:color w:val="auto"/>
          <w:sz w:val="21"/>
          <w:szCs w:val="21"/>
          <w:highlight w:val="none"/>
        </w:rPr>
        <w:t>《典型村“百千万工程”建设提升规划编制指引》要求，完成现状分析、目标定位、国土空间布局、集中展示线路策划、近期实施计划、规划实施保障等。</w:t>
      </w:r>
    </w:p>
    <w:p>
      <w:pPr>
        <w:widowControl/>
        <w:numPr>
          <w:ilvl w:val="0"/>
          <w:numId w:val="10"/>
        </w:numPr>
        <w:spacing w:line="360" w:lineRule="auto"/>
        <w:ind w:left="0" w:leftChars="0" w:firstLine="0" w:firstLineChars="0"/>
        <w:rPr>
          <w:rFonts w:ascii="宋体" w:hAnsi="Times New Roman" w:eastAsia="宋体" w:cs="Times New Roman"/>
          <w:b/>
          <w:bCs w:val="0"/>
          <w:color w:val="auto"/>
          <w:sz w:val="21"/>
          <w:szCs w:val="21"/>
          <w:highlight w:val="none"/>
        </w:rPr>
      </w:pPr>
      <w:r>
        <w:rPr>
          <w:rFonts w:hint="default" w:ascii="宋体" w:hAnsi="Times New Roman" w:eastAsia="宋体" w:cs="Times New Roman"/>
          <w:b/>
          <w:bCs w:val="0"/>
          <w:color w:val="auto"/>
          <w:sz w:val="21"/>
          <w:szCs w:val="21"/>
          <w:highlight w:val="none"/>
        </w:rPr>
        <w:t>现状分析</w:t>
      </w:r>
    </w:p>
    <w:p>
      <w:pPr>
        <w:widowControl/>
        <w:numPr>
          <w:ilvl w:val="0"/>
          <w:numId w:val="0"/>
        </w:numPr>
        <w:spacing w:line="360" w:lineRule="auto"/>
        <w:ind w:left="0" w:leftChars="0" w:firstLine="478" w:firstLineChars="228"/>
        <w:rPr>
          <w:rFonts w:ascii="宋体" w:hAnsi="Times New Roman" w:eastAsia="宋体" w:cs="Times New Roman"/>
          <w:b w:val="0"/>
          <w:bCs/>
          <w:color w:val="auto"/>
          <w:sz w:val="21"/>
          <w:szCs w:val="21"/>
          <w:highlight w:val="none"/>
        </w:rPr>
      </w:pPr>
      <w:r>
        <w:rPr>
          <w:rFonts w:hint="default" w:ascii="宋体" w:hAnsi="Times New Roman" w:eastAsia="宋体" w:cs="Times New Roman"/>
          <w:b w:val="0"/>
          <w:bCs/>
          <w:color w:val="auto"/>
          <w:sz w:val="21"/>
          <w:szCs w:val="21"/>
          <w:highlight w:val="none"/>
        </w:rPr>
        <w:t>深入霄边社区开展现状调研，并进行相关部门走访座谈，充分了解霄边社区自然要素、建设用地（增量、存量未建、存量低效）、村属物业、私下流转用地、历史文化等资源，突出现状特色与短板问题，分析形势与机遇，对区域价值进行研判。</w:t>
      </w:r>
    </w:p>
    <w:p>
      <w:pPr>
        <w:numPr>
          <w:ilvl w:val="0"/>
          <w:numId w:val="11"/>
        </w:numPr>
        <w:spacing w:line="360" w:lineRule="auto"/>
        <w:ind w:left="425" w:leftChars="0" w:firstLine="55" w:firstLineChars="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资源摸底</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系统摸查辖区范围内自然要素、建设用地（增量、存量未建、存量低效）、村属物业、私下流转用地、历史文化等资源，建立现状资源台账。</w:t>
      </w:r>
    </w:p>
    <w:p>
      <w:pPr>
        <w:numPr>
          <w:ilvl w:val="0"/>
          <w:numId w:val="11"/>
        </w:numPr>
        <w:spacing w:line="360" w:lineRule="auto"/>
        <w:ind w:left="425" w:leftChars="0" w:firstLine="55" w:firstLineChars="0"/>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突出短板</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分析村（社区）在经济社会发展中面临的生态保护、村庄建设、集体经济发展、人居环境、交通组织、公共配套、基层治理等方面的突出短板。</w:t>
      </w:r>
    </w:p>
    <w:p>
      <w:pPr>
        <w:numPr>
          <w:ilvl w:val="0"/>
          <w:numId w:val="11"/>
        </w:numPr>
        <w:spacing w:line="360" w:lineRule="auto"/>
        <w:ind w:left="425" w:leftChars="0" w:firstLine="55" w:firstLineChars="0"/>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任务要求</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分析国家、省、市、镇近期工作要求与任务要求，明确典型村的示范任务与特色发展方向。</w:t>
      </w:r>
    </w:p>
    <w:p>
      <w:pPr>
        <w:numPr>
          <w:ilvl w:val="0"/>
          <w:numId w:val="11"/>
        </w:numPr>
        <w:spacing w:line="360" w:lineRule="auto"/>
        <w:ind w:left="425" w:leftChars="0" w:firstLine="55" w:firstLineChars="0"/>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发展机遇</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分析典型村近期发展所面临的形势与机遇，梳理基础条件较好的示范区域，优先作为近期规划建设的重点。</w:t>
      </w:r>
    </w:p>
    <w:p>
      <w:pPr>
        <w:widowControl/>
        <w:numPr>
          <w:ilvl w:val="0"/>
          <w:numId w:val="10"/>
        </w:numPr>
        <w:spacing w:line="360" w:lineRule="auto"/>
        <w:ind w:left="0" w:leftChars="0" w:firstLine="0" w:firstLineChars="0"/>
        <w:rPr>
          <w:rFonts w:ascii="宋体" w:hAnsi="Times New Roman" w:eastAsia="宋体" w:cs="Times New Roman"/>
          <w:b/>
          <w:bCs w:val="0"/>
          <w:color w:val="auto"/>
          <w:sz w:val="21"/>
          <w:szCs w:val="21"/>
          <w:highlight w:val="none"/>
        </w:rPr>
      </w:pPr>
      <w:r>
        <w:rPr>
          <w:rFonts w:hint="default" w:ascii="宋体" w:hAnsi="Times New Roman" w:eastAsia="宋体" w:cs="Times New Roman"/>
          <w:b/>
          <w:bCs w:val="0"/>
          <w:color w:val="auto"/>
          <w:sz w:val="21"/>
          <w:szCs w:val="21"/>
          <w:highlight w:val="none"/>
        </w:rPr>
        <w:t>目标定位</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基于霄边社区资源禀赋和现状问题，结合“百千万工程”的项目建设要求，提出霄边社区“百千万工程”建设规划目标愿景。贯彻落实“一年开局起步、三年初见成效、五年显著变化、十年根本改变”的要求，明确霄边社区近、中、远期阶段的分期目标。同时细化目标任务，结合自身发展特色，锚定重点指标，将工作方案量化。</w:t>
      </w:r>
    </w:p>
    <w:p>
      <w:pPr>
        <w:numPr>
          <w:ilvl w:val="0"/>
          <w:numId w:val="12"/>
        </w:numPr>
        <w:spacing w:line="360" w:lineRule="auto"/>
        <w:ind w:left="425" w:leftChars="0" w:firstLine="55" w:firstLineChars="0"/>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目标愿景</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站在属地镇的整体发展定位与空间格局，以及典型村与周边区域协同发展的角度，结合典型村的资源现状、突出短板以及发展机遇，提出典型村在一定区域范围内的功能定位，描绘未来目标愿景。</w:t>
      </w:r>
    </w:p>
    <w:p>
      <w:pPr>
        <w:numPr>
          <w:ilvl w:val="0"/>
          <w:numId w:val="12"/>
        </w:numPr>
        <w:spacing w:line="360" w:lineRule="auto"/>
        <w:ind w:left="425" w:leftChars="0" w:firstLine="55" w:firstLineChars="0"/>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分期目标</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贯彻落实“一年开局起步、三年初见成效、五年显著变化、十年根本改变”的要求，提出典型村近、中、远期分阶段的目标任务。其中，近期至 2025 年，中期至 2030 年，远期至 2035 年。</w:t>
      </w:r>
    </w:p>
    <w:p>
      <w:pPr>
        <w:numPr>
          <w:ilvl w:val="0"/>
          <w:numId w:val="12"/>
        </w:numPr>
        <w:spacing w:line="360" w:lineRule="auto"/>
        <w:ind w:left="425" w:leftChars="0" w:firstLine="55" w:firstLineChars="0"/>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重点指标</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基于目标任务，结合自身发展特色，制定生态修复、耕地保护、公园绿化、交通梳理、设施完善、环境整治、风貌提升、历史保护、乡村振兴等方面的重点指标要求（后续将会制定基本指标，作为底线要求，各典型村在此基础上，可增加特色指标）。</w:t>
      </w:r>
    </w:p>
    <w:p>
      <w:pPr>
        <w:widowControl/>
        <w:numPr>
          <w:ilvl w:val="0"/>
          <w:numId w:val="10"/>
        </w:numPr>
        <w:spacing w:line="360" w:lineRule="auto"/>
        <w:ind w:left="0" w:leftChars="0" w:firstLine="0" w:firstLineChars="0"/>
        <w:rPr>
          <w:rFonts w:ascii="宋体" w:hAnsi="Times New Roman" w:eastAsia="宋体" w:cs="Times New Roman"/>
          <w:b/>
          <w:bCs w:val="0"/>
          <w:color w:val="auto"/>
          <w:sz w:val="21"/>
          <w:szCs w:val="21"/>
          <w:highlight w:val="none"/>
        </w:rPr>
      </w:pPr>
      <w:r>
        <w:rPr>
          <w:rFonts w:hint="default" w:ascii="宋体" w:hAnsi="Times New Roman" w:eastAsia="宋体" w:cs="Times New Roman"/>
          <w:b/>
          <w:bCs w:val="0"/>
          <w:color w:val="auto"/>
          <w:sz w:val="21"/>
          <w:szCs w:val="21"/>
          <w:highlight w:val="none"/>
        </w:rPr>
        <w:t>国土空间布局</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在社区层面对未来发展进行分析研究，梳理发展思路，明确村域百千万示范体系空间结构；从三生空间梳理、发展策略、乡村风貌控制和专项工程谋划四个方面，构建霄边社区的规划空间和用地布局，提出霄边社区百千万工程重点专项工程。</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规划编制范围可结合行政村周边实际情况，将难以分割的村落、农田、水体、园区等要素一并纳入研究。</w:t>
      </w:r>
    </w:p>
    <w:p>
      <w:pPr>
        <w:numPr>
          <w:ilvl w:val="0"/>
          <w:numId w:val="13"/>
        </w:numPr>
        <w:spacing w:line="360" w:lineRule="auto"/>
        <w:ind w:left="425" w:leftChars="0" w:firstLine="55" w:firstLineChars="0"/>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三生空间梳理</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在不突破底线的前提下，综合考虑农村村民生产生活需求，统筹谋划保障一二三产业融合发展空间，科学划定村庄建设范围与宅基地范围，明确建设用地“拆改留增减”分区。</w:t>
      </w:r>
    </w:p>
    <w:p>
      <w:pPr>
        <w:numPr>
          <w:ilvl w:val="0"/>
          <w:numId w:val="13"/>
        </w:numPr>
        <w:spacing w:line="360" w:lineRule="auto"/>
        <w:ind w:left="425" w:leftChars="0" w:firstLine="55" w:firstLineChars="0"/>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发展策略</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结合本村发展愿意，立足长远发展目标，确定未来空间布局蓝图。在此基础上，聚焦近期发展目标，识别最能彰显本村特色和风貌的重要节点、重要地段、重要片区，以及做好节点之间沿线串连提升，形成“点-线-面”的近期建设布局。</w:t>
      </w:r>
    </w:p>
    <w:p>
      <w:pPr>
        <w:numPr>
          <w:ilvl w:val="0"/>
          <w:numId w:val="13"/>
        </w:numPr>
        <w:spacing w:line="360" w:lineRule="auto"/>
        <w:ind w:left="425" w:leftChars="0" w:firstLine="55" w:firstLineChars="0"/>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乡村风貌控制</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挖掘和提炼当地自然、人文要素符号及岭南传统乡土建筑特色，兼顾村民实用和现代审美的需要，提出乡村景观风貌控制要求。</w:t>
      </w:r>
    </w:p>
    <w:p>
      <w:pPr>
        <w:numPr>
          <w:ilvl w:val="0"/>
          <w:numId w:val="13"/>
        </w:numPr>
        <w:spacing w:line="360" w:lineRule="auto"/>
        <w:ind w:left="425" w:leftChars="0" w:firstLine="55" w:firstLineChars="0"/>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专项工程谋划</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针对突出短板，聚焦近期重点，重点从人居环境改善、全域土地综合整治、乡村振兴实施、村级工业园改造、公共配套完善、人车交通分流、静态交通改善、市政设施支撑、农房风貌提升、村庄美化绿化等方面谋划重点专项工程。</w:t>
      </w:r>
    </w:p>
    <w:p>
      <w:pPr>
        <w:widowControl/>
        <w:numPr>
          <w:ilvl w:val="0"/>
          <w:numId w:val="10"/>
        </w:numPr>
        <w:spacing w:line="360" w:lineRule="auto"/>
        <w:ind w:left="0" w:leftChars="0" w:firstLine="0" w:firstLineChars="0"/>
        <w:rPr>
          <w:rFonts w:ascii="宋体" w:hAnsi="Times New Roman" w:eastAsia="宋体" w:cs="Times New Roman"/>
          <w:b/>
          <w:bCs w:val="0"/>
          <w:color w:val="auto"/>
          <w:sz w:val="21"/>
          <w:szCs w:val="21"/>
          <w:highlight w:val="none"/>
        </w:rPr>
      </w:pPr>
      <w:r>
        <w:rPr>
          <w:rFonts w:hint="default" w:ascii="宋体" w:hAnsi="Times New Roman" w:eastAsia="宋体" w:cs="Times New Roman"/>
          <w:b/>
          <w:bCs w:val="0"/>
          <w:color w:val="auto"/>
          <w:sz w:val="21"/>
          <w:szCs w:val="21"/>
          <w:highlight w:val="none"/>
        </w:rPr>
        <w:t>集中展示线路策划</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识别近期集中力量重点打造的地区，形成能够集中展示“百千万工程”建设成效的线路，提升“百千万工程”的辨析度，进行集中展示线路重要节点详细设计。</w:t>
      </w:r>
    </w:p>
    <w:p>
      <w:pPr>
        <w:numPr>
          <w:ilvl w:val="0"/>
          <w:numId w:val="14"/>
        </w:numPr>
        <w:spacing w:line="360" w:lineRule="auto"/>
        <w:ind w:left="5" w:leftChars="0" w:firstLine="472" w:firstLineChars="225"/>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选取近期重要节点</w:t>
      </w:r>
    </w:p>
    <w:p>
      <w:pPr>
        <w:spacing w:line="360" w:lineRule="auto"/>
        <w:ind w:left="5" w:leftChars="0" w:firstLine="472" w:firstLineChars="225"/>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识别近期集中力量打造的重要节点地区，可包括生态公园、耕地集聚区、公共活动场所、历史文化街区、重要建构筑物等，明确重点地区功能策划。</w:t>
      </w:r>
    </w:p>
    <w:p>
      <w:pPr>
        <w:numPr>
          <w:ilvl w:val="0"/>
          <w:numId w:val="14"/>
        </w:numPr>
        <w:spacing w:line="360" w:lineRule="auto"/>
        <w:ind w:left="5" w:leftChars="0" w:firstLine="472" w:firstLineChars="225"/>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策划集中展示线路</w:t>
      </w:r>
    </w:p>
    <w:p>
      <w:pPr>
        <w:spacing w:line="360" w:lineRule="auto"/>
        <w:ind w:left="5" w:leftChars="0" w:firstLine="472" w:firstLineChars="225"/>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识别能够集中展示“百千万工程”建设成效的线路，串联重要节点地区，完善慢行系统，整治沿线环境，提升“百千万工程”的辨析度。</w:t>
      </w:r>
    </w:p>
    <w:p>
      <w:pPr>
        <w:numPr>
          <w:ilvl w:val="0"/>
          <w:numId w:val="14"/>
        </w:numPr>
        <w:spacing w:line="360" w:lineRule="auto"/>
        <w:ind w:left="5" w:leftChars="0" w:firstLine="472" w:firstLineChars="225"/>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详细设计重要节点</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针对重点选取重要节点地区、集中展示线路形成详细设计效果图。</w:t>
      </w:r>
    </w:p>
    <w:p>
      <w:pPr>
        <w:widowControl/>
        <w:numPr>
          <w:ilvl w:val="0"/>
          <w:numId w:val="10"/>
        </w:numPr>
        <w:spacing w:line="360" w:lineRule="auto"/>
        <w:ind w:left="0" w:leftChars="0" w:firstLine="0" w:firstLineChars="0"/>
        <w:rPr>
          <w:rFonts w:hint="default" w:ascii="宋体" w:hAnsi="Times New Roman" w:eastAsia="宋体" w:cs="Times New Roman"/>
          <w:b/>
          <w:bCs w:val="0"/>
          <w:color w:val="auto"/>
          <w:sz w:val="21"/>
          <w:szCs w:val="21"/>
          <w:highlight w:val="none"/>
        </w:rPr>
      </w:pPr>
      <w:r>
        <w:rPr>
          <w:rFonts w:hint="eastAsia" w:ascii="宋体" w:hAnsi="Times New Roman" w:eastAsia="宋体" w:cs="Times New Roman"/>
          <w:b/>
          <w:bCs w:val="0"/>
          <w:color w:val="auto"/>
          <w:sz w:val="21"/>
          <w:szCs w:val="21"/>
          <w:highlight w:val="none"/>
        </w:rPr>
        <w:t>近期实施计划</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整合霄边社区的发展需求，形成重点建设项目库和建设项目分布图。根据项目特点和城市发展需求，科学划分出近期建设项目库、中期建设项目库、远期建设项目库。</w:t>
      </w:r>
    </w:p>
    <w:p>
      <w:pPr>
        <w:numPr>
          <w:ilvl w:val="0"/>
          <w:numId w:val="15"/>
        </w:numPr>
        <w:spacing w:line="360" w:lineRule="auto"/>
        <w:ind w:left="0" w:leftChars="0" w:firstLine="478" w:firstLineChars="228"/>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村庄整治计划</w:t>
      </w:r>
    </w:p>
    <w:p>
      <w:pPr>
        <w:spacing w:line="360" w:lineRule="auto"/>
        <w:ind w:left="0" w:leftChars="0" w:firstLine="478" w:firstLineChars="228"/>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以全域土地综合整治的思维开展建设提升规划编制，综合利用存量建设用地盘活、增减挂钩等工具，开展废弃、低效、闲置等宅基地、厂房盘活工作，探索建设用地置换路径，同时有序开展生态修复、耕地恢复等治理工作，对村庄土地资源进行系统整治，推进土地与功能的归置。</w:t>
      </w:r>
    </w:p>
    <w:p>
      <w:pPr>
        <w:numPr>
          <w:ilvl w:val="0"/>
          <w:numId w:val="15"/>
        </w:numPr>
        <w:spacing w:line="360" w:lineRule="auto"/>
        <w:ind w:left="0" w:leftChars="0" w:firstLine="478" w:firstLineChars="228"/>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项目建设计划</w:t>
      </w:r>
    </w:p>
    <w:p>
      <w:pPr>
        <w:spacing w:line="360" w:lineRule="auto"/>
        <w:ind w:left="0" w:leftChars="0" w:firstLine="478" w:firstLineChars="228"/>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坚持问题导向与目标导向相结合，按照“实施一批、谋划一批、储备一批”原则，形成一批涵盖以补短板为导向和以推动集中展示线路建设为导向的近期项目，并明确建设计划与投资估算，并建立动态调整的项目库，加强项目管理。</w:t>
      </w:r>
    </w:p>
    <w:p>
      <w:pPr>
        <w:widowControl/>
        <w:numPr>
          <w:ilvl w:val="0"/>
          <w:numId w:val="10"/>
        </w:numPr>
        <w:spacing w:line="360" w:lineRule="auto"/>
        <w:ind w:left="0" w:leftChars="0" w:firstLine="0" w:firstLineChars="0"/>
        <w:rPr>
          <w:rFonts w:hint="eastAsia" w:ascii="宋体" w:hAnsi="Times New Roman" w:eastAsia="宋体" w:cs="Times New Roman"/>
          <w:b/>
          <w:bCs w:val="0"/>
          <w:color w:val="auto"/>
          <w:sz w:val="21"/>
          <w:szCs w:val="21"/>
          <w:highlight w:val="none"/>
        </w:rPr>
      </w:pPr>
      <w:r>
        <w:rPr>
          <w:rFonts w:hint="eastAsia" w:ascii="宋体" w:hAnsi="Times New Roman" w:eastAsia="宋体" w:cs="Times New Roman"/>
          <w:b/>
          <w:bCs w:val="0"/>
          <w:color w:val="auto"/>
          <w:sz w:val="21"/>
          <w:szCs w:val="21"/>
          <w:highlight w:val="none"/>
        </w:rPr>
        <w:t>规划实施保障</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强化村委领导组织作用，明确建设提升规划方案，明确建设项目的资金需求与筹措方式，提出土地、资金、人才、组织等方面的措施，保障项目实施。</w:t>
      </w:r>
    </w:p>
    <w:p>
      <w:pPr>
        <w:numPr>
          <w:ilvl w:val="0"/>
          <w:numId w:val="16"/>
        </w:numPr>
        <w:spacing w:line="360" w:lineRule="auto"/>
        <w:ind w:left="5" w:leftChars="0" w:firstLine="472" w:firstLineChars="225"/>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组织领导</w:t>
      </w:r>
    </w:p>
    <w:p>
      <w:pPr>
        <w:spacing w:line="360" w:lineRule="auto"/>
        <w:ind w:left="5" w:leftChars="0" w:firstLine="472" w:firstLineChars="225"/>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强化村委领导组织作用，按照项目类型压实责任人的分工。</w:t>
      </w:r>
    </w:p>
    <w:p>
      <w:pPr>
        <w:numPr>
          <w:ilvl w:val="0"/>
          <w:numId w:val="16"/>
        </w:numPr>
        <w:spacing w:line="360" w:lineRule="auto"/>
        <w:ind w:left="5" w:leftChars="0" w:firstLine="472" w:firstLineChars="225"/>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资源保障</w:t>
      </w:r>
    </w:p>
    <w:p>
      <w:pPr>
        <w:spacing w:line="360" w:lineRule="auto"/>
        <w:ind w:left="5" w:leftChars="0" w:firstLine="472" w:firstLineChars="225"/>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明确建设提升规划方案，尤其是近期建设项目所需要的资源保障，并确保资源保障方案不突破上位规划与政策法规要求。</w:t>
      </w:r>
    </w:p>
    <w:p>
      <w:pPr>
        <w:numPr>
          <w:ilvl w:val="0"/>
          <w:numId w:val="16"/>
        </w:numPr>
        <w:spacing w:line="360" w:lineRule="auto"/>
        <w:ind w:left="5" w:leftChars="0" w:firstLine="472" w:firstLineChars="225"/>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资金筹措</w:t>
      </w:r>
    </w:p>
    <w:p>
      <w:pPr>
        <w:spacing w:line="360" w:lineRule="auto"/>
        <w:ind w:left="5" w:leftChars="0" w:firstLine="472" w:firstLineChars="225"/>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明确建设项目的资金需求与筹措方式，积极引导村集体资金、社会资本参与“百千万工程”的建设。</w:t>
      </w:r>
    </w:p>
    <w:p>
      <w:pPr>
        <w:widowControl/>
        <w:numPr>
          <w:ilvl w:val="0"/>
          <w:numId w:val="10"/>
        </w:numPr>
        <w:spacing w:line="360" w:lineRule="auto"/>
        <w:ind w:left="0" w:leftChars="0" w:firstLine="0" w:firstLineChars="0"/>
        <w:rPr>
          <w:rFonts w:hint="eastAsia" w:ascii="宋体" w:hAnsi="Times New Roman" w:eastAsia="宋体" w:cs="Times New Roman"/>
          <w:b/>
          <w:bCs w:val="0"/>
          <w:color w:val="auto"/>
          <w:sz w:val="21"/>
          <w:szCs w:val="21"/>
          <w:highlight w:val="none"/>
        </w:rPr>
      </w:pPr>
      <w:r>
        <w:rPr>
          <w:rFonts w:hint="eastAsia" w:ascii="宋体" w:hAnsi="Times New Roman" w:eastAsia="宋体" w:cs="Times New Roman"/>
          <w:b/>
          <w:bCs w:val="0"/>
          <w:color w:val="auto"/>
          <w:sz w:val="21"/>
          <w:szCs w:val="21"/>
          <w:highlight w:val="none"/>
        </w:rPr>
        <w:t>主要线路沿线区域农房风貌及重要节点详细设计（重要节点3个）</w:t>
      </w:r>
    </w:p>
    <w:p>
      <w:pPr>
        <w:keepNext w:val="0"/>
        <w:keepLines w:val="0"/>
        <w:pageBreakBefore w:val="0"/>
        <w:widowControl w:val="0"/>
        <w:numPr>
          <w:ilvl w:val="-1"/>
          <w:numId w:val="0"/>
        </w:numPr>
        <w:kinsoku/>
        <w:wordWrap/>
        <w:overflowPunct/>
        <w:topLinePunct w:val="0"/>
        <w:autoSpaceDE/>
        <w:autoSpaceDN/>
        <w:bidi w:val="0"/>
        <w:adjustRightInd/>
        <w:snapToGrid/>
        <w:spacing w:line="360" w:lineRule="auto"/>
        <w:ind w:left="-420" w:firstLine="420" w:firstLineChars="200"/>
        <w:jc w:val="both"/>
        <w:textAlignment w:val="auto"/>
        <w:rPr>
          <w:rFonts w:hint="eastAsia" w:ascii="宋体" w:hAnsi="宋体" w:eastAsia="宋体" w:cs="Times New Roman"/>
          <w:b/>
          <w:bCs/>
          <w:color w:val="auto"/>
          <w:sz w:val="24"/>
          <w:szCs w:val="24"/>
          <w:highlight w:val="none"/>
        </w:rPr>
      </w:pPr>
      <w:r>
        <w:rPr>
          <w:rFonts w:hint="eastAsia" w:asciiTheme="minorEastAsia" w:hAnsiTheme="minorEastAsia" w:eastAsiaTheme="minorEastAsia" w:cstheme="minorEastAsia"/>
          <w:color w:val="auto"/>
          <w:sz w:val="21"/>
          <w:szCs w:val="21"/>
          <w:highlight w:val="none"/>
        </w:rPr>
        <w:t>包括但不限于：三线下地、外立面改造、口袋公园（入口门户空间）、停车场（含充电桩）、广告位详细设计、社区LOGO（两个）、重要节点建筑灯光亮化、重要节点建筑设计等。</w:t>
      </w:r>
    </w:p>
    <w:p>
      <w:pPr>
        <w:keepNext w:val="0"/>
        <w:keepLines w:val="0"/>
        <w:pageBreakBefore w:val="0"/>
        <w:widowControl w:val="0"/>
        <w:numPr>
          <w:ilvl w:val="1"/>
          <w:numId w:val="8"/>
        </w:numPr>
        <w:kinsoku/>
        <w:wordWrap/>
        <w:overflowPunct/>
        <w:topLinePunct w:val="0"/>
        <w:autoSpaceDE/>
        <w:autoSpaceDN/>
        <w:bidi w:val="0"/>
        <w:adjustRightInd/>
        <w:snapToGrid/>
        <w:spacing w:before="157" w:beforeLines="50" w:after="157" w:afterLines="50" w:line="360" w:lineRule="auto"/>
        <w:ind w:left="425" w:hanging="425"/>
        <w:jc w:val="both"/>
        <w:textAlignment w:val="auto"/>
        <w:outlineLvl w:val="1"/>
        <w:rPr>
          <w:rFonts w:hint="eastAsia" w:hAnsi="宋体"/>
          <w:b/>
          <w:bCs/>
          <w:color w:val="auto"/>
          <w:kern w:val="2"/>
          <w:highlight w:val="none"/>
        </w:rPr>
      </w:pPr>
      <w:bookmarkStart w:id="54" w:name="_Toc17505"/>
      <w:r>
        <w:rPr>
          <w:rFonts w:hint="eastAsia" w:hAnsi="宋体"/>
          <w:b/>
          <w:bCs/>
          <w:color w:val="auto"/>
          <w:kern w:val="2"/>
          <w:highlight w:val="none"/>
        </w:rPr>
        <w:t>服务期限</w:t>
      </w:r>
      <w:bookmarkEnd w:id="54"/>
    </w:p>
    <w:p>
      <w:pPr>
        <w:keepNext w:val="0"/>
        <w:keepLines w:val="0"/>
        <w:pageBreakBefore w:val="0"/>
        <w:widowControl w:val="0"/>
        <w:numPr>
          <w:ilvl w:val="-1"/>
          <w:numId w:val="0"/>
        </w:numPr>
        <w:kinsoku/>
        <w:wordWrap/>
        <w:overflowPunct/>
        <w:topLinePunct w:val="0"/>
        <w:autoSpaceDE/>
        <w:autoSpaceDN/>
        <w:bidi w:val="0"/>
        <w:adjustRightInd/>
        <w:snapToGrid/>
        <w:spacing w:line="360" w:lineRule="auto"/>
        <w:ind w:left="-420" w:firstLine="420" w:firstLineChars="200"/>
        <w:jc w:val="both"/>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根据工作内容与深度要求，自合同生效之日起，本项目周期约为</w:t>
      </w:r>
      <w:r>
        <w:rPr>
          <w:rFonts w:hint="eastAsia" w:asciiTheme="minorEastAsia" w:hAnsiTheme="minorEastAsia" w:eastAsiaTheme="minorEastAsia" w:cstheme="minorEastAsia"/>
          <w:color w:val="auto"/>
          <w:sz w:val="21"/>
          <w:szCs w:val="21"/>
          <w:highlight w:val="none"/>
          <w:lang w:val="en-US" w:eastAsia="zh-CN"/>
        </w:rPr>
        <w:t>12</w:t>
      </w:r>
      <w:r>
        <w:rPr>
          <w:rFonts w:hint="eastAsia" w:asciiTheme="minorEastAsia" w:hAnsiTheme="minorEastAsia" w:eastAsiaTheme="minorEastAsia" w:cstheme="minorEastAsia"/>
          <w:color w:val="auto"/>
          <w:sz w:val="21"/>
          <w:szCs w:val="21"/>
          <w:highlight w:val="none"/>
        </w:rPr>
        <w:t>个月，若受采购人工作进度等不可控因素影响则工期顺延。</w:t>
      </w:r>
    </w:p>
    <w:p>
      <w:pPr>
        <w:keepNext w:val="0"/>
        <w:keepLines w:val="0"/>
        <w:pageBreakBefore w:val="0"/>
        <w:widowControl w:val="0"/>
        <w:numPr>
          <w:ilvl w:val="1"/>
          <w:numId w:val="8"/>
        </w:numPr>
        <w:kinsoku/>
        <w:wordWrap/>
        <w:overflowPunct/>
        <w:topLinePunct w:val="0"/>
        <w:autoSpaceDE/>
        <w:autoSpaceDN/>
        <w:bidi w:val="0"/>
        <w:adjustRightInd/>
        <w:snapToGrid/>
        <w:spacing w:before="157" w:beforeLines="50" w:after="157" w:afterLines="50" w:line="360" w:lineRule="auto"/>
        <w:ind w:left="425" w:hanging="425"/>
        <w:jc w:val="both"/>
        <w:textAlignment w:val="auto"/>
        <w:outlineLvl w:val="1"/>
        <w:rPr>
          <w:rFonts w:hint="eastAsia" w:hAnsi="宋体"/>
          <w:b/>
          <w:bCs/>
          <w:color w:val="auto"/>
          <w:kern w:val="2"/>
          <w:sz w:val="21"/>
          <w:szCs w:val="21"/>
          <w:highlight w:val="none"/>
        </w:rPr>
      </w:pPr>
      <w:bookmarkStart w:id="55" w:name="_Toc12307"/>
      <w:r>
        <w:rPr>
          <w:rFonts w:hint="eastAsia" w:hAnsi="宋体"/>
          <w:b/>
          <w:bCs/>
          <w:color w:val="auto"/>
          <w:kern w:val="2"/>
          <w:highlight w:val="none"/>
        </w:rPr>
        <w:t>工作周期</w:t>
      </w:r>
      <w:bookmarkEnd w:id="55"/>
    </w:p>
    <w:p>
      <w:pPr>
        <w:widowControl/>
        <w:numPr>
          <w:ilvl w:val="0"/>
          <w:numId w:val="17"/>
        </w:numPr>
        <w:spacing w:line="360" w:lineRule="auto"/>
        <w:ind w:left="0" w:leftChars="0" w:firstLine="0" w:firstLineChars="0"/>
        <w:rPr>
          <w:rFonts w:hint="eastAsia" w:hAnsi="宋体"/>
          <w:b/>
          <w:bCs/>
          <w:color w:val="auto"/>
          <w:kern w:val="2"/>
          <w:sz w:val="21"/>
          <w:szCs w:val="21"/>
          <w:highlight w:val="none"/>
        </w:rPr>
      </w:pPr>
      <w:r>
        <w:rPr>
          <w:rFonts w:hint="eastAsia" w:hAnsi="宋体"/>
          <w:b/>
          <w:bCs/>
          <w:color w:val="auto"/>
          <w:kern w:val="2"/>
          <w:sz w:val="21"/>
          <w:szCs w:val="21"/>
          <w:highlight w:val="none"/>
        </w:rPr>
        <w:t>初步成果阶段</w:t>
      </w:r>
    </w:p>
    <w:p>
      <w:pPr>
        <w:keepNext w:val="0"/>
        <w:keepLines w:val="0"/>
        <w:pageBreakBefore w:val="0"/>
        <w:widowControl w:val="0"/>
        <w:numPr>
          <w:ilvl w:val="-1"/>
          <w:numId w:val="0"/>
        </w:numPr>
        <w:kinsoku/>
        <w:wordWrap/>
        <w:overflowPunct/>
        <w:topLinePunct w:val="0"/>
        <w:autoSpaceDE/>
        <w:autoSpaceDN/>
        <w:bidi w:val="0"/>
        <w:adjustRightInd/>
        <w:snapToGrid/>
        <w:spacing w:line="360" w:lineRule="auto"/>
        <w:ind w:left="-420" w:firstLine="420" w:firstLineChars="200"/>
        <w:jc w:val="both"/>
        <w:textAlignment w:val="auto"/>
        <w:rPr>
          <w:rFonts w:hint="eastAsia" w:asciiTheme="minorEastAsia" w:hAnsiTheme="minorEastAsia" w:eastAsiaTheme="minorEastAsia" w:cstheme="minorEastAsia"/>
          <w:color w:val="auto"/>
          <w:sz w:val="21"/>
          <w:szCs w:val="21"/>
          <w:highlight w:val="none"/>
          <w:lang w:val="en-US" w:eastAsia="zh-CN"/>
        </w:rPr>
      </w:pPr>
      <w:r>
        <w:rPr>
          <w:rFonts w:hint="eastAsia" w:asciiTheme="minorEastAsia" w:hAnsiTheme="minorEastAsia" w:eastAsiaTheme="minorEastAsia" w:cstheme="minorEastAsia"/>
          <w:color w:val="auto"/>
          <w:sz w:val="21"/>
          <w:szCs w:val="21"/>
          <w:highlight w:val="none"/>
        </w:rPr>
        <w:t>开展前期调研及资料收集、规划研究工作，形成初步方案成果，并</w:t>
      </w:r>
      <w:r>
        <w:rPr>
          <w:rFonts w:hint="eastAsia" w:asciiTheme="minorEastAsia" w:hAnsiTheme="minorEastAsia" w:eastAsiaTheme="minorEastAsia" w:cstheme="minorEastAsia"/>
          <w:color w:val="auto"/>
          <w:sz w:val="21"/>
          <w:szCs w:val="21"/>
          <w:highlight w:val="none"/>
          <w:lang w:val="en-US" w:eastAsia="zh-CN"/>
        </w:rPr>
        <w:t>形成台账、</w:t>
      </w:r>
      <w:r>
        <w:rPr>
          <w:rFonts w:hint="eastAsia" w:asciiTheme="minorEastAsia" w:hAnsiTheme="minorEastAsia" w:eastAsiaTheme="minorEastAsia" w:cstheme="minorEastAsia"/>
          <w:color w:val="auto"/>
          <w:sz w:val="21"/>
          <w:szCs w:val="21"/>
          <w:highlight w:val="none"/>
        </w:rPr>
        <w:t>文本</w:t>
      </w:r>
      <w:r>
        <w:rPr>
          <w:rFonts w:hint="eastAsia" w:asciiTheme="minorEastAsia" w:hAnsiTheme="minorEastAsia" w:eastAsiaTheme="minorEastAsia" w:cstheme="minorEastAsia"/>
          <w:color w:val="auto"/>
          <w:sz w:val="21"/>
          <w:szCs w:val="21"/>
          <w:highlight w:val="none"/>
          <w:lang w:eastAsia="zh-CN"/>
        </w:rPr>
        <w:t>、</w:t>
      </w:r>
      <w:r>
        <w:rPr>
          <w:rFonts w:hint="eastAsia" w:asciiTheme="minorEastAsia" w:hAnsiTheme="minorEastAsia" w:eastAsiaTheme="minorEastAsia" w:cstheme="minorEastAsia"/>
          <w:color w:val="auto"/>
          <w:sz w:val="21"/>
          <w:szCs w:val="21"/>
          <w:highlight w:val="none"/>
          <w:lang w:val="en-US" w:eastAsia="zh-CN"/>
        </w:rPr>
        <w:t>图片等材料文件提交</w:t>
      </w:r>
      <w:r>
        <w:rPr>
          <w:rFonts w:hint="eastAsia" w:asciiTheme="minorEastAsia" w:hAnsiTheme="minorEastAsia" w:eastAsiaTheme="minorEastAsia" w:cstheme="minorEastAsia"/>
          <w:color w:val="auto"/>
          <w:sz w:val="21"/>
          <w:szCs w:val="21"/>
          <w:highlight w:val="none"/>
        </w:rPr>
        <w:t>采购人审核</w:t>
      </w:r>
      <w:r>
        <w:rPr>
          <w:rFonts w:hint="eastAsia" w:asciiTheme="minorEastAsia" w:hAnsiTheme="minorEastAsia" w:eastAsiaTheme="minorEastAsia" w:cstheme="minorEastAsia"/>
          <w:color w:val="auto"/>
          <w:sz w:val="21"/>
          <w:szCs w:val="21"/>
          <w:highlight w:val="none"/>
          <w:lang w:eastAsia="zh-CN"/>
        </w:rPr>
        <w:t>。</w:t>
      </w:r>
    </w:p>
    <w:p>
      <w:pPr>
        <w:widowControl/>
        <w:numPr>
          <w:ilvl w:val="0"/>
          <w:numId w:val="17"/>
        </w:numPr>
        <w:spacing w:line="360" w:lineRule="auto"/>
        <w:ind w:left="0" w:leftChars="0" w:firstLine="0" w:firstLineChars="0"/>
        <w:rPr>
          <w:rFonts w:hint="eastAsia" w:hAnsi="宋体"/>
          <w:b/>
          <w:bCs/>
          <w:color w:val="auto"/>
          <w:kern w:val="2"/>
          <w:sz w:val="21"/>
          <w:szCs w:val="21"/>
          <w:highlight w:val="none"/>
        </w:rPr>
      </w:pPr>
      <w:r>
        <w:rPr>
          <w:rFonts w:hint="eastAsia" w:hAnsi="宋体"/>
          <w:b/>
          <w:bCs/>
          <w:color w:val="auto"/>
          <w:kern w:val="2"/>
          <w:sz w:val="21"/>
          <w:szCs w:val="21"/>
          <w:highlight w:val="none"/>
        </w:rPr>
        <w:t>中期成果阶段</w:t>
      </w:r>
    </w:p>
    <w:p>
      <w:pPr>
        <w:keepNext w:val="0"/>
        <w:keepLines w:val="0"/>
        <w:pageBreakBefore w:val="0"/>
        <w:widowControl w:val="0"/>
        <w:numPr>
          <w:ilvl w:val="-1"/>
          <w:numId w:val="0"/>
        </w:numPr>
        <w:kinsoku/>
        <w:wordWrap/>
        <w:overflowPunct/>
        <w:topLinePunct w:val="0"/>
        <w:autoSpaceDE/>
        <w:autoSpaceDN/>
        <w:bidi w:val="0"/>
        <w:adjustRightInd/>
        <w:snapToGrid/>
        <w:spacing w:line="360" w:lineRule="auto"/>
        <w:ind w:left="-420" w:firstLine="420" w:firstLineChars="200"/>
        <w:jc w:val="both"/>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在初步方案基础上，结合各方意见，进一步深化方案研究，形成中期方案成果，并形成台账、文本、图片等材料文件提交采购人审核。</w:t>
      </w:r>
    </w:p>
    <w:p>
      <w:pPr>
        <w:widowControl/>
        <w:numPr>
          <w:ilvl w:val="0"/>
          <w:numId w:val="17"/>
        </w:numPr>
        <w:spacing w:line="360" w:lineRule="auto"/>
        <w:ind w:left="0" w:leftChars="0" w:firstLine="0" w:firstLineChars="0"/>
        <w:rPr>
          <w:rFonts w:hint="eastAsia" w:hAnsi="宋体"/>
          <w:b/>
          <w:bCs/>
          <w:color w:val="auto"/>
          <w:kern w:val="2"/>
          <w:sz w:val="21"/>
          <w:szCs w:val="21"/>
          <w:highlight w:val="none"/>
        </w:rPr>
      </w:pPr>
      <w:r>
        <w:rPr>
          <w:rFonts w:hint="eastAsia" w:hAnsi="宋体"/>
          <w:b/>
          <w:bCs/>
          <w:color w:val="auto"/>
          <w:kern w:val="2"/>
          <w:sz w:val="21"/>
          <w:szCs w:val="21"/>
          <w:highlight w:val="none"/>
        </w:rPr>
        <w:t>终期成果阶段</w:t>
      </w:r>
    </w:p>
    <w:p>
      <w:pPr>
        <w:keepNext w:val="0"/>
        <w:keepLines w:val="0"/>
        <w:pageBreakBefore w:val="0"/>
        <w:widowControl w:val="0"/>
        <w:numPr>
          <w:ilvl w:val="-1"/>
          <w:numId w:val="0"/>
        </w:numPr>
        <w:kinsoku/>
        <w:wordWrap/>
        <w:overflowPunct/>
        <w:topLinePunct w:val="0"/>
        <w:autoSpaceDE/>
        <w:autoSpaceDN/>
        <w:bidi w:val="0"/>
        <w:adjustRightInd/>
        <w:snapToGrid/>
        <w:spacing w:line="360" w:lineRule="auto"/>
        <w:ind w:left="-420" w:firstLine="420" w:firstLineChars="200"/>
        <w:jc w:val="both"/>
        <w:textAlignment w:val="auto"/>
        <w:rPr>
          <w:rFonts w:hint="eastAsia" w:asciiTheme="minorEastAsia" w:hAnsiTheme="minorEastAsia" w:eastAsiaTheme="minorEastAsia" w:cstheme="minorEastAsia"/>
          <w:color w:val="auto"/>
          <w:sz w:val="21"/>
          <w:szCs w:val="21"/>
          <w:highlight w:val="none"/>
          <w:lang w:eastAsia="zh-CN"/>
        </w:rPr>
      </w:pPr>
      <w:r>
        <w:rPr>
          <w:rFonts w:hint="eastAsia" w:asciiTheme="minorEastAsia" w:hAnsiTheme="minorEastAsia" w:eastAsiaTheme="minorEastAsia" w:cstheme="minorEastAsia"/>
          <w:color w:val="auto"/>
          <w:sz w:val="21"/>
          <w:szCs w:val="21"/>
          <w:highlight w:val="none"/>
        </w:rPr>
        <w:t>对接镇街要求，并征求各部门意见和社区意见，形成最终成果。</w:t>
      </w:r>
      <w:r>
        <w:rPr>
          <w:rFonts w:hint="eastAsia" w:hAnsi="宋体" w:cs="宋体"/>
          <w:color w:val="auto"/>
          <w:sz w:val="21"/>
          <w:szCs w:val="21"/>
          <w:highlight w:val="none"/>
          <w:lang w:val="en-US" w:eastAsia="zh-CN"/>
        </w:rPr>
        <w:t>提交的成果资料，</w:t>
      </w:r>
      <w:r>
        <w:rPr>
          <w:rFonts w:hint="eastAsia" w:hAnsi="宋体" w:cs="宋体"/>
          <w:color w:val="auto"/>
          <w:sz w:val="21"/>
          <w:szCs w:val="21"/>
          <w:highlight w:val="none"/>
        </w:rPr>
        <w:t>经采购人及东莞市“百千万工程”指挥部审核</w:t>
      </w:r>
      <w:r>
        <w:rPr>
          <w:rFonts w:hint="eastAsia" w:hAnsi="宋体" w:cs="宋体"/>
          <w:color w:val="auto"/>
          <w:sz w:val="21"/>
          <w:szCs w:val="21"/>
          <w:highlight w:val="none"/>
          <w:lang w:eastAsia="zh-CN"/>
        </w:rPr>
        <w:t>，</w:t>
      </w:r>
      <w:r>
        <w:rPr>
          <w:rFonts w:hint="eastAsia" w:hAnsi="宋体" w:cs="宋体"/>
          <w:color w:val="auto"/>
          <w:sz w:val="21"/>
          <w:szCs w:val="21"/>
          <w:highlight w:val="none"/>
          <w:lang w:val="en-US" w:eastAsia="zh-CN"/>
        </w:rPr>
        <w:t>若提出有</w:t>
      </w:r>
      <w:r>
        <w:rPr>
          <w:rFonts w:hint="eastAsia" w:asciiTheme="minorEastAsia" w:hAnsiTheme="minorEastAsia" w:eastAsiaTheme="minorEastAsia" w:cstheme="minorEastAsia"/>
          <w:color w:val="auto"/>
          <w:sz w:val="21"/>
          <w:szCs w:val="21"/>
          <w:highlight w:val="none"/>
        </w:rPr>
        <w:t>审查意见修改</w:t>
      </w:r>
      <w:r>
        <w:rPr>
          <w:rFonts w:hint="eastAsia" w:asciiTheme="minorEastAsia" w:hAnsiTheme="minorEastAsia" w:eastAsiaTheme="minorEastAsia" w:cstheme="minorEastAsia"/>
          <w:color w:val="auto"/>
          <w:sz w:val="21"/>
          <w:szCs w:val="21"/>
          <w:highlight w:val="none"/>
          <w:lang w:eastAsia="zh-CN"/>
        </w:rPr>
        <w:t>，</w:t>
      </w:r>
      <w:r>
        <w:rPr>
          <w:rFonts w:hint="eastAsia" w:asciiTheme="minorEastAsia" w:hAnsiTheme="minorEastAsia" w:eastAsiaTheme="minorEastAsia" w:cstheme="minorEastAsia"/>
          <w:color w:val="auto"/>
          <w:sz w:val="21"/>
          <w:szCs w:val="21"/>
          <w:highlight w:val="none"/>
          <w:lang w:val="en-US" w:eastAsia="zh-CN"/>
        </w:rPr>
        <w:t>成交供应商</w:t>
      </w:r>
      <w:r>
        <w:rPr>
          <w:rFonts w:hint="eastAsia" w:asciiTheme="minorEastAsia" w:hAnsiTheme="minorEastAsia" w:eastAsiaTheme="minorEastAsia" w:cstheme="minorEastAsia"/>
          <w:color w:val="auto"/>
          <w:sz w:val="21"/>
          <w:szCs w:val="21"/>
          <w:highlight w:val="none"/>
        </w:rPr>
        <w:t>完成终期成果</w:t>
      </w:r>
      <w:r>
        <w:rPr>
          <w:rFonts w:hint="eastAsia" w:asciiTheme="minorEastAsia" w:hAnsiTheme="minorEastAsia" w:eastAsiaTheme="minorEastAsia" w:cstheme="minorEastAsia"/>
          <w:color w:val="auto"/>
          <w:sz w:val="21"/>
          <w:szCs w:val="21"/>
          <w:highlight w:val="none"/>
          <w:lang w:eastAsia="zh-CN"/>
        </w:rPr>
        <w:t>。</w:t>
      </w:r>
    </w:p>
    <w:p>
      <w:pPr>
        <w:keepNext w:val="0"/>
        <w:keepLines w:val="0"/>
        <w:pageBreakBefore w:val="0"/>
        <w:widowControl w:val="0"/>
        <w:numPr>
          <w:ilvl w:val="1"/>
          <w:numId w:val="8"/>
        </w:numPr>
        <w:kinsoku/>
        <w:wordWrap/>
        <w:overflowPunct/>
        <w:topLinePunct w:val="0"/>
        <w:autoSpaceDE/>
        <w:autoSpaceDN/>
        <w:bidi w:val="0"/>
        <w:adjustRightInd/>
        <w:snapToGrid/>
        <w:spacing w:before="157" w:beforeLines="50" w:after="157" w:afterLines="50" w:line="360" w:lineRule="auto"/>
        <w:ind w:left="425" w:hanging="425"/>
        <w:jc w:val="both"/>
        <w:textAlignment w:val="auto"/>
        <w:outlineLvl w:val="1"/>
        <w:rPr>
          <w:rFonts w:hint="eastAsia" w:hAnsi="宋体"/>
          <w:b/>
          <w:bCs/>
          <w:color w:val="auto"/>
          <w:kern w:val="2"/>
          <w:highlight w:val="none"/>
        </w:rPr>
      </w:pPr>
      <w:bookmarkStart w:id="56" w:name="_Toc270"/>
      <w:r>
        <w:rPr>
          <w:rFonts w:hint="eastAsia" w:hAnsi="宋体"/>
          <w:b/>
          <w:bCs/>
          <w:color w:val="auto"/>
          <w:kern w:val="2"/>
          <w:highlight w:val="none"/>
        </w:rPr>
        <w:t>成果要求</w:t>
      </w:r>
      <w:bookmarkEnd w:id="56"/>
    </w:p>
    <w:p>
      <w:pPr>
        <w:keepNext w:val="0"/>
        <w:keepLines w:val="0"/>
        <w:pageBreakBefore w:val="0"/>
        <w:widowControl w:val="0"/>
        <w:numPr>
          <w:ilvl w:val="-1"/>
          <w:numId w:val="0"/>
        </w:numPr>
        <w:kinsoku/>
        <w:wordWrap/>
        <w:overflowPunct/>
        <w:topLinePunct w:val="0"/>
        <w:autoSpaceDE/>
        <w:autoSpaceDN/>
        <w:bidi w:val="0"/>
        <w:adjustRightInd/>
        <w:snapToGrid/>
        <w:spacing w:line="360" w:lineRule="auto"/>
        <w:ind w:left="-420" w:firstLine="420" w:firstLineChars="200"/>
        <w:jc w:val="both"/>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参考东莞市“百千万工程”指挥部《关于进一步做好“百千万工程”规划编制工作的通知》，本次规划成果</w:t>
      </w:r>
      <w:r>
        <w:rPr>
          <w:rFonts w:hint="eastAsia" w:asciiTheme="minorEastAsia" w:hAnsiTheme="minorEastAsia" w:eastAsiaTheme="minorEastAsia" w:cstheme="minorEastAsia"/>
          <w:color w:val="auto"/>
          <w:sz w:val="21"/>
          <w:szCs w:val="21"/>
          <w:highlight w:val="none"/>
          <w:lang w:val="en-US" w:eastAsia="zh-CN"/>
        </w:rPr>
        <w:t>成交供应商需</w:t>
      </w:r>
      <w:r>
        <w:rPr>
          <w:color w:val="auto"/>
          <w:sz w:val="21"/>
          <w:highlight w:val="none"/>
        </w:rPr>
        <w:t>提供</w:t>
      </w:r>
      <w:r>
        <w:rPr>
          <w:rFonts w:hint="eastAsia" w:asciiTheme="minorEastAsia" w:hAnsiTheme="minorEastAsia" w:eastAsiaTheme="minorEastAsia" w:cstheme="minorEastAsia"/>
          <w:color w:val="auto"/>
          <w:sz w:val="21"/>
          <w:szCs w:val="21"/>
          <w:highlight w:val="none"/>
          <w:u w:val="single"/>
        </w:rPr>
        <w:t>规划研究报告6套及电子文件2套</w:t>
      </w:r>
      <w:r>
        <w:rPr>
          <w:rFonts w:hint="eastAsia" w:asciiTheme="minorEastAsia" w:hAnsiTheme="minorEastAsia" w:eastAsiaTheme="minorEastAsia" w:cstheme="minorEastAsia"/>
          <w:color w:val="auto"/>
          <w:sz w:val="21"/>
          <w:szCs w:val="21"/>
          <w:highlight w:val="none"/>
          <w:u w:val="single"/>
          <w:lang w:eastAsia="zh-CN"/>
        </w:rPr>
        <w:t>，</w:t>
      </w:r>
      <w:r>
        <w:rPr>
          <w:rFonts w:hint="eastAsia" w:asciiTheme="minorEastAsia" w:hAnsiTheme="minorEastAsia" w:eastAsiaTheme="minorEastAsia" w:cstheme="minorEastAsia"/>
          <w:color w:val="auto"/>
          <w:sz w:val="21"/>
          <w:szCs w:val="21"/>
          <w:highlight w:val="none"/>
        </w:rPr>
        <w:t>包括但</w:t>
      </w:r>
      <w:r>
        <w:rPr>
          <w:rFonts w:hint="eastAsia" w:asciiTheme="minorEastAsia" w:hAnsiTheme="minorEastAsia" w:eastAsiaTheme="minorEastAsia" w:cstheme="minorEastAsia"/>
          <w:color w:val="auto"/>
          <w:sz w:val="21"/>
          <w:szCs w:val="21"/>
          <w:highlight w:val="none"/>
          <w:lang w:val="en-US" w:eastAsia="zh-CN"/>
        </w:rPr>
        <w:t>不限于</w:t>
      </w:r>
      <w:r>
        <w:rPr>
          <w:rFonts w:hint="eastAsia" w:asciiTheme="minorEastAsia" w:hAnsiTheme="minorEastAsia" w:eastAsiaTheme="minorEastAsia" w:cstheme="minorEastAsia"/>
          <w:color w:val="auto"/>
          <w:sz w:val="21"/>
          <w:szCs w:val="21"/>
          <w:highlight w:val="none"/>
        </w:rPr>
        <w:t>文本纲要</w:t>
      </w:r>
      <w:r>
        <w:rPr>
          <w:rFonts w:hint="eastAsia" w:asciiTheme="minorEastAsia" w:hAnsiTheme="minorEastAsia" w:eastAsiaTheme="minorEastAsia" w:cstheme="minorEastAsia"/>
          <w:color w:val="auto"/>
          <w:sz w:val="21"/>
          <w:szCs w:val="21"/>
          <w:highlight w:val="none"/>
          <w:lang w:eastAsia="zh-CN"/>
        </w:rPr>
        <w:t>，</w:t>
      </w:r>
      <w:r>
        <w:rPr>
          <w:rFonts w:hint="eastAsia" w:asciiTheme="minorEastAsia" w:hAnsiTheme="minorEastAsia" w:eastAsiaTheme="minorEastAsia" w:cstheme="minorEastAsia"/>
          <w:color w:val="auto"/>
          <w:sz w:val="21"/>
          <w:szCs w:val="21"/>
          <w:highlight w:val="none"/>
        </w:rPr>
        <w:t>并附“一书两库”以及必要的规划图集，成果文件须满足档案归档和上报审批的要求。具体如下：</w:t>
      </w:r>
    </w:p>
    <w:p>
      <w:pPr>
        <w:widowControl/>
        <w:numPr>
          <w:ilvl w:val="0"/>
          <w:numId w:val="18"/>
        </w:numPr>
        <w:spacing w:line="360" w:lineRule="auto"/>
        <w:ind w:left="0" w:leftChars="0" w:firstLine="0" w:firstLineChars="0"/>
        <w:rPr>
          <w:rFonts w:hint="eastAsia" w:ascii="宋体" w:hAnsi="Times New Roman" w:eastAsia="宋体" w:cs="Times New Roman"/>
          <w:b w:val="0"/>
          <w:bCs/>
          <w:color w:val="auto"/>
          <w:sz w:val="21"/>
          <w:szCs w:val="21"/>
          <w:highlight w:val="none"/>
        </w:rPr>
      </w:pPr>
      <w:r>
        <w:rPr>
          <w:rFonts w:hint="eastAsia" w:ascii="宋体" w:hAnsi="Times New Roman" w:eastAsia="宋体" w:cs="Times New Roman"/>
          <w:b w:val="0"/>
          <w:bCs/>
          <w:color w:val="auto"/>
          <w:sz w:val="21"/>
          <w:szCs w:val="21"/>
          <w:highlight w:val="none"/>
        </w:rPr>
        <w:t>文本纲要</w:t>
      </w:r>
    </w:p>
    <w:p>
      <w:pPr>
        <w:keepNext w:val="0"/>
        <w:keepLines w:val="0"/>
        <w:pageBreakBefore w:val="0"/>
        <w:widowControl w:val="0"/>
        <w:numPr>
          <w:ilvl w:val="-1"/>
          <w:numId w:val="0"/>
        </w:numPr>
        <w:kinsoku/>
        <w:wordWrap/>
        <w:overflowPunct/>
        <w:topLinePunct w:val="0"/>
        <w:autoSpaceDE/>
        <w:autoSpaceDN/>
        <w:bidi w:val="0"/>
        <w:adjustRightInd/>
        <w:snapToGrid/>
        <w:spacing w:line="360" w:lineRule="auto"/>
        <w:ind w:left="-420" w:firstLine="420" w:firstLineChars="200"/>
        <w:jc w:val="both"/>
        <w:textAlignment w:val="auto"/>
        <w:rPr>
          <w:rFonts w:hint="eastAsia" w:asciiTheme="minorEastAsia" w:hAnsiTheme="minorEastAsia" w:eastAsiaTheme="minorEastAsia" w:cstheme="minorEastAsia"/>
          <w:b w:val="0"/>
          <w:bCs/>
          <w:color w:val="auto"/>
          <w:sz w:val="21"/>
          <w:szCs w:val="21"/>
          <w:highlight w:val="none"/>
        </w:rPr>
      </w:pPr>
      <w:r>
        <w:rPr>
          <w:rFonts w:hint="eastAsia" w:asciiTheme="minorEastAsia" w:hAnsiTheme="minorEastAsia" w:eastAsiaTheme="minorEastAsia" w:cstheme="minorEastAsia"/>
          <w:b w:val="0"/>
          <w:bCs/>
          <w:color w:val="auto"/>
          <w:sz w:val="21"/>
          <w:szCs w:val="21"/>
          <w:highlight w:val="none"/>
        </w:rPr>
        <w:t>文本纲要面向党政领导干部、管理人员、社会群众，将规划核心理念与内容准确规范、简明扼要、通俗易懂地进行表达。</w:t>
      </w:r>
    </w:p>
    <w:p>
      <w:pPr>
        <w:widowControl/>
        <w:numPr>
          <w:ilvl w:val="0"/>
          <w:numId w:val="18"/>
        </w:numPr>
        <w:spacing w:line="360" w:lineRule="auto"/>
        <w:ind w:left="0" w:leftChars="0" w:firstLine="0" w:firstLineChars="0"/>
        <w:rPr>
          <w:rFonts w:hint="eastAsia" w:ascii="宋体" w:hAnsi="Times New Roman" w:eastAsia="宋体" w:cs="Times New Roman"/>
          <w:b w:val="0"/>
          <w:bCs/>
          <w:color w:val="auto"/>
          <w:sz w:val="21"/>
          <w:szCs w:val="21"/>
          <w:highlight w:val="none"/>
        </w:rPr>
      </w:pPr>
      <w:r>
        <w:rPr>
          <w:rFonts w:hint="eastAsia" w:ascii="宋体" w:hAnsi="Times New Roman" w:eastAsia="宋体" w:cs="Times New Roman"/>
          <w:b w:val="0"/>
          <w:bCs/>
          <w:color w:val="auto"/>
          <w:sz w:val="21"/>
          <w:szCs w:val="21"/>
          <w:highlight w:val="none"/>
        </w:rPr>
        <w:t>规划说明书</w:t>
      </w:r>
    </w:p>
    <w:p>
      <w:pPr>
        <w:keepNext w:val="0"/>
        <w:keepLines w:val="0"/>
        <w:pageBreakBefore w:val="0"/>
        <w:widowControl w:val="0"/>
        <w:numPr>
          <w:ilvl w:val="-1"/>
          <w:numId w:val="0"/>
        </w:numPr>
        <w:kinsoku/>
        <w:wordWrap/>
        <w:overflowPunct/>
        <w:topLinePunct w:val="0"/>
        <w:autoSpaceDE/>
        <w:autoSpaceDN/>
        <w:bidi w:val="0"/>
        <w:adjustRightInd/>
        <w:snapToGrid/>
        <w:spacing w:line="360" w:lineRule="auto"/>
        <w:ind w:left="-420" w:firstLine="420" w:firstLineChars="200"/>
        <w:jc w:val="both"/>
        <w:textAlignment w:val="auto"/>
        <w:rPr>
          <w:rFonts w:hint="eastAsia" w:asciiTheme="minorEastAsia" w:hAnsiTheme="minorEastAsia" w:eastAsiaTheme="minorEastAsia" w:cstheme="minorEastAsia"/>
          <w:b w:val="0"/>
          <w:bCs/>
          <w:color w:val="auto"/>
          <w:sz w:val="21"/>
          <w:szCs w:val="21"/>
          <w:highlight w:val="none"/>
        </w:rPr>
      </w:pPr>
      <w:r>
        <w:rPr>
          <w:rFonts w:hint="eastAsia" w:asciiTheme="minorEastAsia" w:hAnsiTheme="minorEastAsia" w:eastAsiaTheme="minorEastAsia" w:cstheme="minorEastAsia"/>
          <w:b w:val="0"/>
          <w:bCs/>
          <w:color w:val="auto"/>
          <w:sz w:val="21"/>
          <w:szCs w:val="21"/>
          <w:highlight w:val="none"/>
        </w:rPr>
        <w:t>规划说明书基于文本纲要，将相关内容进行详细论述与技术论证。</w:t>
      </w:r>
    </w:p>
    <w:p>
      <w:pPr>
        <w:widowControl/>
        <w:numPr>
          <w:ilvl w:val="0"/>
          <w:numId w:val="18"/>
        </w:numPr>
        <w:spacing w:line="360" w:lineRule="auto"/>
        <w:ind w:left="0" w:leftChars="0" w:firstLine="0" w:firstLineChars="0"/>
        <w:rPr>
          <w:rFonts w:hint="eastAsia" w:ascii="宋体" w:hAnsi="Times New Roman" w:eastAsia="宋体" w:cs="Times New Roman"/>
          <w:b w:val="0"/>
          <w:bCs/>
          <w:color w:val="auto"/>
          <w:sz w:val="21"/>
          <w:szCs w:val="21"/>
          <w:highlight w:val="none"/>
        </w:rPr>
      </w:pPr>
      <w:r>
        <w:rPr>
          <w:rFonts w:hint="eastAsia" w:ascii="宋体" w:hAnsi="Times New Roman" w:eastAsia="宋体" w:cs="Times New Roman"/>
          <w:b w:val="0"/>
          <w:bCs/>
          <w:color w:val="auto"/>
          <w:sz w:val="21"/>
          <w:szCs w:val="21"/>
          <w:highlight w:val="none"/>
        </w:rPr>
        <w:t>近期建设项目库</w:t>
      </w:r>
    </w:p>
    <w:p>
      <w:pPr>
        <w:keepNext w:val="0"/>
        <w:keepLines w:val="0"/>
        <w:pageBreakBefore w:val="0"/>
        <w:widowControl w:val="0"/>
        <w:numPr>
          <w:ilvl w:val="-1"/>
          <w:numId w:val="0"/>
        </w:numPr>
        <w:kinsoku/>
        <w:wordWrap/>
        <w:overflowPunct/>
        <w:topLinePunct w:val="0"/>
        <w:autoSpaceDE/>
        <w:autoSpaceDN/>
        <w:bidi w:val="0"/>
        <w:adjustRightInd/>
        <w:snapToGrid/>
        <w:spacing w:line="360" w:lineRule="auto"/>
        <w:ind w:left="-420" w:firstLine="420" w:firstLineChars="200"/>
        <w:jc w:val="both"/>
        <w:textAlignment w:val="auto"/>
        <w:rPr>
          <w:rFonts w:hint="eastAsia" w:asciiTheme="minorEastAsia" w:hAnsiTheme="minorEastAsia" w:eastAsiaTheme="minorEastAsia" w:cstheme="minorEastAsia"/>
          <w:b w:val="0"/>
          <w:bCs/>
          <w:color w:val="auto"/>
          <w:sz w:val="21"/>
          <w:szCs w:val="21"/>
          <w:highlight w:val="none"/>
        </w:rPr>
      </w:pPr>
      <w:r>
        <w:rPr>
          <w:rFonts w:hint="eastAsia" w:asciiTheme="minorEastAsia" w:hAnsiTheme="minorEastAsia" w:eastAsiaTheme="minorEastAsia" w:cstheme="minorEastAsia"/>
          <w:b w:val="0"/>
          <w:bCs/>
          <w:color w:val="auto"/>
          <w:sz w:val="21"/>
          <w:szCs w:val="21"/>
          <w:highlight w:val="none"/>
        </w:rPr>
        <w:t>将建设项目库整理形成Excel 文件，形成建设台账，包含项目名称、项目类型、项目位置、建设内容及规模、建设时间（开始时间、结束时间）、建设类型、投资估算、责任部门等内容。</w:t>
      </w:r>
    </w:p>
    <w:p>
      <w:pPr>
        <w:widowControl/>
        <w:numPr>
          <w:ilvl w:val="0"/>
          <w:numId w:val="18"/>
        </w:numPr>
        <w:spacing w:line="360" w:lineRule="auto"/>
        <w:ind w:left="0" w:leftChars="0" w:firstLine="0" w:firstLineChars="0"/>
        <w:rPr>
          <w:rFonts w:hint="eastAsia" w:ascii="宋体" w:hAnsi="Times New Roman" w:eastAsia="宋体" w:cs="Times New Roman"/>
          <w:b w:val="0"/>
          <w:bCs/>
          <w:color w:val="auto"/>
          <w:sz w:val="21"/>
          <w:szCs w:val="21"/>
          <w:highlight w:val="none"/>
        </w:rPr>
      </w:pPr>
      <w:r>
        <w:rPr>
          <w:rFonts w:hint="eastAsia" w:ascii="宋体" w:hAnsi="Times New Roman" w:eastAsia="宋体" w:cs="Times New Roman"/>
          <w:b w:val="0"/>
          <w:bCs/>
          <w:color w:val="auto"/>
          <w:sz w:val="21"/>
          <w:szCs w:val="21"/>
          <w:highlight w:val="none"/>
        </w:rPr>
        <w:t>矢量数据库</w:t>
      </w:r>
    </w:p>
    <w:p>
      <w:pPr>
        <w:keepNext w:val="0"/>
        <w:keepLines w:val="0"/>
        <w:pageBreakBefore w:val="0"/>
        <w:widowControl w:val="0"/>
        <w:numPr>
          <w:ilvl w:val="-1"/>
          <w:numId w:val="0"/>
        </w:numPr>
        <w:kinsoku/>
        <w:wordWrap/>
        <w:overflowPunct/>
        <w:topLinePunct w:val="0"/>
        <w:autoSpaceDE/>
        <w:autoSpaceDN/>
        <w:bidi w:val="0"/>
        <w:adjustRightInd/>
        <w:snapToGrid/>
        <w:spacing w:line="360" w:lineRule="auto"/>
        <w:ind w:left="-420" w:firstLine="420" w:firstLineChars="200"/>
        <w:jc w:val="both"/>
        <w:textAlignment w:val="auto"/>
        <w:rPr>
          <w:rFonts w:hint="eastAsia" w:asciiTheme="minorEastAsia" w:hAnsiTheme="minorEastAsia" w:eastAsiaTheme="minorEastAsia" w:cstheme="minorEastAsia"/>
          <w:b w:val="0"/>
          <w:bCs/>
          <w:color w:val="auto"/>
          <w:sz w:val="21"/>
          <w:szCs w:val="21"/>
          <w:highlight w:val="none"/>
        </w:rPr>
      </w:pPr>
      <w:r>
        <w:rPr>
          <w:rFonts w:hint="eastAsia" w:asciiTheme="minorEastAsia" w:hAnsiTheme="minorEastAsia" w:eastAsiaTheme="minorEastAsia" w:cstheme="minorEastAsia"/>
          <w:b w:val="0"/>
          <w:bCs/>
          <w:color w:val="auto"/>
          <w:sz w:val="21"/>
          <w:szCs w:val="21"/>
          <w:highlight w:val="none"/>
        </w:rPr>
        <w:t>将现状资源盘整图、空间布局远景图、管理单元优化预案图、资源利用与占补平衡方案图、近期项目土地利用规划图、近期项目分布图等以数据库形式封装建库，形成规划数据库。</w:t>
      </w:r>
    </w:p>
    <w:p>
      <w:pPr>
        <w:widowControl/>
        <w:numPr>
          <w:ilvl w:val="0"/>
          <w:numId w:val="18"/>
        </w:numPr>
        <w:spacing w:line="360" w:lineRule="auto"/>
        <w:ind w:left="0" w:leftChars="0" w:firstLine="0" w:firstLineChars="0"/>
        <w:rPr>
          <w:rFonts w:hint="eastAsia" w:ascii="宋体" w:hAnsi="Times New Roman" w:eastAsia="宋体" w:cs="Times New Roman"/>
          <w:b w:val="0"/>
          <w:bCs/>
          <w:color w:val="auto"/>
          <w:sz w:val="21"/>
          <w:szCs w:val="21"/>
          <w:highlight w:val="none"/>
        </w:rPr>
      </w:pPr>
      <w:r>
        <w:rPr>
          <w:rFonts w:hint="eastAsia" w:ascii="宋体" w:hAnsi="Times New Roman" w:eastAsia="宋体" w:cs="Times New Roman"/>
          <w:b w:val="0"/>
          <w:bCs/>
          <w:color w:val="auto"/>
          <w:sz w:val="21"/>
          <w:szCs w:val="21"/>
          <w:highlight w:val="none"/>
        </w:rPr>
        <w:t>规划图集</w:t>
      </w:r>
    </w:p>
    <w:p>
      <w:pPr>
        <w:keepNext w:val="0"/>
        <w:keepLines w:val="0"/>
        <w:pageBreakBefore w:val="0"/>
        <w:widowControl w:val="0"/>
        <w:numPr>
          <w:ilvl w:val="-1"/>
          <w:numId w:val="0"/>
        </w:numPr>
        <w:kinsoku/>
        <w:wordWrap/>
        <w:overflowPunct/>
        <w:topLinePunct w:val="0"/>
        <w:autoSpaceDE/>
        <w:autoSpaceDN/>
        <w:bidi w:val="0"/>
        <w:adjustRightInd/>
        <w:snapToGrid/>
        <w:spacing w:line="360" w:lineRule="auto"/>
        <w:ind w:left="-420" w:firstLine="420" w:firstLineChars="200"/>
        <w:jc w:val="both"/>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 xml:space="preserve">   必备但不限于：现状资源盘整图、空间结构规划图、空间布局远景图、管理单元优化预案图、资源利用与占补平衡方案图（明确项目建设所建设用地的“拆、改、留、增、减”等使用方案，以及耕地、林地等资源占补平衡方案）、近期项目土地利用规划图、镇域景观风貌规划图、近期项目分布图、重要节点/重点地区设计效果图以及其他配合规划方案表达所需要的图纸。</w:t>
      </w:r>
    </w:p>
    <w:p>
      <w:pPr>
        <w:pStyle w:val="2"/>
        <w:keepNext/>
        <w:keepLines/>
        <w:pageBreakBefore/>
        <w:numPr>
          <w:ilvl w:val="0"/>
          <w:numId w:val="7"/>
        </w:numPr>
        <w:tabs>
          <w:tab w:val="left" w:pos="1080"/>
        </w:tabs>
        <w:spacing w:line="360" w:lineRule="auto"/>
        <w:ind w:left="1262" w:hanging="1262" w:hangingChars="449"/>
        <w:jc w:val="center"/>
        <w:rPr>
          <w:rFonts w:hAnsi="宋体"/>
          <w:b/>
          <w:bCs/>
          <w:color w:val="auto"/>
          <w:kern w:val="44"/>
          <w:sz w:val="28"/>
          <w:szCs w:val="28"/>
          <w:highlight w:val="none"/>
          <w:lang w:val="zh-CN"/>
        </w:rPr>
      </w:pPr>
      <w:bookmarkStart w:id="144" w:name="_GoBack"/>
      <w:bookmarkEnd w:id="144"/>
      <w:r>
        <w:rPr>
          <w:rFonts w:hint="eastAsia" w:hAnsi="宋体"/>
          <w:b/>
          <w:bCs/>
          <w:color w:val="auto"/>
          <w:kern w:val="44"/>
          <w:sz w:val="28"/>
          <w:szCs w:val="28"/>
          <w:highlight w:val="none"/>
        </w:rPr>
        <w:t xml:space="preserve"> </w:t>
      </w:r>
      <w:bookmarkStart w:id="57" w:name="_Toc5275"/>
      <w:r>
        <w:rPr>
          <w:rFonts w:hint="eastAsia" w:hAnsi="宋体"/>
          <w:b/>
          <w:bCs/>
          <w:color w:val="auto"/>
          <w:kern w:val="44"/>
          <w:sz w:val="28"/>
          <w:szCs w:val="28"/>
          <w:highlight w:val="none"/>
          <w:lang w:val="zh-CN"/>
        </w:rPr>
        <w:t>供应商须知</w:t>
      </w:r>
      <w:bookmarkEnd w:id="48"/>
      <w:bookmarkEnd w:id="57"/>
    </w:p>
    <w:p>
      <w:pPr>
        <w:autoSpaceDE/>
        <w:autoSpaceDN/>
        <w:adjustRightInd/>
        <w:spacing w:line="360" w:lineRule="auto"/>
        <w:ind w:firstLine="420" w:firstLineChars="200"/>
        <w:jc w:val="both"/>
        <w:rPr>
          <w:rFonts w:hAnsi="宋体" w:cs="宋体"/>
          <w:color w:val="auto"/>
          <w:kern w:val="2"/>
          <w:sz w:val="21"/>
          <w:highlight w:val="none"/>
        </w:rPr>
      </w:pPr>
      <w:bookmarkStart w:id="58" w:name="_Toc396137231"/>
      <w:r>
        <w:rPr>
          <w:rFonts w:hint="eastAsia" w:hAnsi="宋体" w:cs="宋体"/>
          <w:color w:val="auto"/>
          <w:kern w:val="2"/>
          <w:sz w:val="21"/>
          <w:highlight w:val="none"/>
        </w:rPr>
        <w:t>供应商必须认真阅读磋商文件中所有的事项、格式、条款和采购需求等。供应商没有按照磋商文件要求提交全部资料，或者响应文件没有对磋商文件在各方面都做出实质性响应的可能导致其响应无效或被拒绝。</w:t>
      </w:r>
    </w:p>
    <w:bookmarkEnd w:id="58"/>
    <w:p>
      <w:pPr>
        <w:pStyle w:val="3"/>
        <w:numPr>
          <w:ilvl w:val="0"/>
          <w:numId w:val="19"/>
        </w:numPr>
        <w:spacing w:line="360" w:lineRule="auto"/>
        <w:rPr>
          <w:rFonts w:hAnsi="宋体"/>
          <w:b/>
          <w:bCs/>
          <w:color w:val="auto"/>
          <w:kern w:val="44"/>
          <w:highlight w:val="none"/>
          <w:lang w:val="zh-CN"/>
        </w:rPr>
      </w:pPr>
      <w:bookmarkStart w:id="59" w:name="_Toc15979"/>
      <w:r>
        <w:rPr>
          <w:rFonts w:hint="eastAsia" w:hAnsi="宋体"/>
          <w:b/>
          <w:bCs/>
          <w:color w:val="auto"/>
          <w:kern w:val="44"/>
          <w:highlight w:val="none"/>
        </w:rPr>
        <w:t>名词解释</w:t>
      </w:r>
      <w:bookmarkEnd w:id="59"/>
    </w:p>
    <w:p>
      <w:pPr>
        <w:autoSpaceDE/>
        <w:autoSpaceDN/>
        <w:adjustRightInd/>
        <w:spacing w:line="360" w:lineRule="auto"/>
        <w:ind w:firstLine="420" w:firstLineChars="200"/>
        <w:jc w:val="both"/>
        <w:rPr>
          <w:rFonts w:hAnsi="宋体" w:cs="宋体"/>
          <w:color w:val="auto"/>
          <w:kern w:val="2"/>
          <w:sz w:val="21"/>
          <w:highlight w:val="none"/>
        </w:rPr>
      </w:pPr>
      <w:r>
        <w:rPr>
          <w:rFonts w:hint="eastAsia" w:hAnsi="宋体" w:cs="宋体"/>
          <w:color w:val="auto"/>
          <w:kern w:val="2"/>
          <w:sz w:val="21"/>
          <w:highlight w:val="none"/>
        </w:rPr>
        <w:t>1.采购代理机构：本项目是指广东中科招标有限公司，负责整个采购活动的组织，依法负责编制和发布磋商文件，对磋商文件拥有最终的解释权，不以任何身份参与磋商小组成员。</w:t>
      </w:r>
    </w:p>
    <w:p>
      <w:pPr>
        <w:autoSpaceDE/>
        <w:autoSpaceDN/>
        <w:adjustRightInd/>
        <w:spacing w:line="360" w:lineRule="auto"/>
        <w:ind w:firstLine="420" w:firstLineChars="200"/>
        <w:jc w:val="both"/>
        <w:rPr>
          <w:rFonts w:hAnsi="宋体" w:cs="宋体"/>
          <w:color w:val="auto"/>
          <w:kern w:val="2"/>
          <w:sz w:val="21"/>
          <w:highlight w:val="none"/>
        </w:rPr>
      </w:pPr>
      <w:r>
        <w:rPr>
          <w:rFonts w:hint="eastAsia" w:hAnsi="宋体" w:cs="宋体"/>
          <w:color w:val="auto"/>
          <w:kern w:val="2"/>
          <w:sz w:val="21"/>
          <w:highlight w:val="none"/>
        </w:rPr>
        <w:t>2.采购人：本项目是指东莞市长安镇霄边社区居民委员会，是采购活动当事人之一，负责项目的整体规划、技术方案可行性设计论证与实施，作为合同采购方（用户）的主体承担质疑回复、履行合同、验收与评价等义务。</w:t>
      </w:r>
    </w:p>
    <w:p>
      <w:pPr>
        <w:autoSpaceDE/>
        <w:autoSpaceDN/>
        <w:adjustRightInd/>
        <w:spacing w:line="360" w:lineRule="auto"/>
        <w:ind w:firstLine="420" w:firstLineChars="200"/>
        <w:jc w:val="both"/>
        <w:rPr>
          <w:rFonts w:hAnsi="宋体" w:cs="宋体"/>
          <w:color w:val="auto"/>
          <w:kern w:val="2"/>
          <w:sz w:val="21"/>
          <w:highlight w:val="none"/>
        </w:rPr>
      </w:pPr>
      <w:r>
        <w:rPr>
          <w:rFonts w:hint="eastAsia" w:hAnsi="宋体" w:cs="宋体"/>
          <w:color w:val="auto"/>
          <w:kern w:val="2"/>
          <w:sz w:val="21"/>
          <w:highlight w:val="none"/>
        </w:rPr>
        <w:t>3.供应商：是指在响应招标、参加投标竞争的法人、其他组织或者自然人并完成本项目的供应商。</w:t>
      </w:r>
    </w:p>
    <w:p>
      <w:pPr>
        <w:autoSpaceDE/>
        <w:autoSpaceDN/>
        <w:adjustRightInd/>
        <w:spacing w:line="360" w:lineRule="auto"/>
        <w:ind w:firstLine="420" w:firstLineChars="200"/>
        <w:jc w:val="both"/>
        <w:rPr>
          <w:rFonts w:hAnsi="宋体" w:cs="宋体"/>
          <w:color w:val="auto"/>
          <w:kern w:val="2"/>
          <w:sz w:val="21"/>
          <w:highlight w:val="none"/>
        </w:rPr>
      </w:pPr>
      <w:r>
        <w:rPr>
          <w:rFonts w:hint="eastAsia" w:hAnsi="宋体" w:cs="宋体"/>
          <w:color w:val="auto"/>
          <w:kern w:val="2"/>
          <w:sz w:val="21"/>
          <w:highlight w:val="none"/>
        </w:rPr>
        <w:t>4.“磋商小组”是指根据《中华人民共和国政府采购法》等法律法规规定，由采购人代表和有关专家组成以确定成交供应商或者推荐成交候选供应商的临时组织。</w:t>
      </w:r>
    </w:p>
    <w:p>
      <w:pPr>
        <w:autoSpaceDE/>
        <w:autoSpaceDN/>
        <w:adjustRightInd/>
        <w:spacing w:line="360" w:lineRule="auto"/>
        <w:ind w:firstLine="420" w:firstLineChars="200"/>
        <w:jc w:val="both"/>
        <w:rPr>
          <w:rFonts w:hAnsi="宋体" w:cs="宋体"/>
          <w:color w:val="auto"/>
          <w:kern w:val="2"/>
          <w:sz w:val="21"/>
          <w:highlight w:val="none"/>
        </w:rPr>
      </w:pPr>
      <w:r>
        <w:rPr>
          <w:rFonts w:hint="eastAsia" w:hAnsi="宋体" w:cs="宋体"/>
          <w:color w:val="auto"/>
          <w:kern w:val="2"/>
          <w:sz w:val="21"/>
          <w:highlight w:val="none"/>
        </w:rPr>
        <w:t>5.“成交供应商”是指经磋商小组评审确定的对磋商文件做出实质性响应，经采购人按照规定在磋商小组推荐的成交候选供应商中确定的或磋商小组受采购人委托直接确认的供应商。</w:t>
      </w:r>
    </w:p>
    <w:p>
      <w:pPr>
        <w:autoSpaceDE/>
        <w:autoSpaceDN/>
        <w:adjustRightInd/>
        <w:spacing w:line="360" w:lineRule="auto"/>
        <w:ind w:firstLine="420" w:firstLineChars="200"/>
        <w:jc w:val="both"/>
        <w:rPr>
          <w:rFonts w:hAnsi="宋体" w:cs="宋体"/>
          <w:color w:val="auto"/>
          <w:kern w:val="2"/>
          <w:sz w:val="21"/>
          <w:highlight w:val="none"/>
        </w:rPr>
      </w:pPr>
      <w:r>
        <w:rPr>
          <w:rFonts w:hint="eastAsia" w:hAnsi="宋体" w:cs="宋体"/>
          <w:color w:val="auto"/>
          <w:kern w:val="2"/>
          <w:sz w:val="21"/>
          <w:highlight w:val="none"/>
        </w:rPr>
        <w:t>6.磋商文件：是指包括磋商公告和磋商文件及其补充、变更和澄清等一系列文件。</w:t>
      </w:r>
    </w:p>
    <w:p>
      <w:pPr>
        <w:autoSpaceDE/>
        <w:autoSpaceDN/>
        <w:adjustRightInd/>
        <w:spacing w:line="360" w:lineRule="auto"/>
        <w:ind w:firstLine="420" w:firstLineChars="200"/>
        <w:jc w:val="both"/>
        <w:rPr>
          <w:rFonts w:hAnsi="宋体" w:cs="宋体"/>
          <w:color w:val="auto"/>
          <w:kern w:val="2"/>
          <w:sz w:val="21"/>
          <w:highlight w:val="none"/>
        </w:rPr>
      </w:pPr>
      <w:r>
        <w:rPr>
          <w:rFonts w:hint="eastAsia" w:hAnsi="宋体" w:cs="宋体"/>
          <w:color w:val="auto"/>
          <w:kern w:val="2"/>
          <w:sz w:val="21"/>
          <w:highlight w:val="none"/>
        </w:rPr>
        <w:t>7.“货物”是指各种形态和种类的物品，包括原材料、燃料、设备、产品等。</w:t>
      </w:r>
    </w:p>
    <w:p>
      <w:pPr>
        <w:autoSpaceDE/>
        <w:autoSpaceDN/>
        <w:adjustRightInd/>
        <w:spacing w:line="360" w:lineRule="auto"/>
        <w:ind w:firstLine="420" w:firstLineChars="200"/>
        <w:jc w:val="both"/>
        <w:rPr>
          <w:rFonts w:hAnsi="宋体" w:cs="宋体"/>
          <w:color w:val="auto"/>
          <w:kern w:val="2"/>
          <w:sz w:val="21"/>
          <w:highlight w:val="none"/>
        </w:rPr>
      </w:pPr>
      <w:r>
        <w:rPr>
          <w:rFonts w:hint="eastAsia" w:hAnsi="宋体" w:cs="宋体"/>
          <w:color w:val="auto"/>
          <w:kern w:val="2"/>
          <w:sz w:val="21"/>
          <w:highlight w:val="none"/>
        </w:rPr>
        <w:t>8.“工程”是指建设工程，包括建筑物和构筑物的新建、改建、扩建、装修、拆除、修缮等。</w:t>
      </w:r>
    </w:p>
    <w:p>
      <w:pPr>
        <w:autoSpaceDE/>
        <w:autoSpaceDN/>
        <w:adjustRightInd/>
        <w:spacing w:line="360" w:lineRule="auto"/>
        <w:ind w:firstLine="420" w:firstLineChars="200"/>
        <w:jc w:val="both"/>
        <w:rPr>
          <w:rFonts w:hAnsi="宋体" w:cs="宋体"/>
          <w:color w:val="auto"/>
          <w:kern w:val="2"/>
          <w:sz w:val="21"/>
          <w:highlight w:val="none"/>
        </w:rPr>
      </w:pPr>
      <w:r>
        <w:rPr>
          <w:rFonts w:hint="eastAsia" w:hAnsi="宋体" w:cs="宋体"/>
          <w:color w:val="auto"/>
          <w:kern w:val="2"/>
          <w:sz w:val="21"/>
          <w:highlight w:val="none"/>
        </w:rPr>
        <w:t>9.“服务”是指除货物和工程以外的其他政府采购对象，包括政府自身需要的服务和政府向社会公众提供的公共服务。</w:t>
      </w:r>
    </w:p>
    <w:p>
      <w:pPr>
        <w:autoSpaceDE/>
        <w:autoSpaceDN/>
        <w:adjustRightInd/>
        <w:spacing w:line="360" w:lineRule="auto"/>
        <w:ind w:firstLine="420" w:firstLineChars="200"/>
        <w:jc w:val="both"/>
        <w:rPr>
          <w:rFonts w:hAnsi="宋体" w:cs="宋体"/>
          <w:color w:val="auto"/>
          <w:kern w:val="2"/>
          <w:sz w:val="21"/>
          <w:highlight w:val="none"/>
        </w:rPr>
      </w:pPr>
      <w:r>
        <w:rPr>
          <w:rFonts w:hint="eastAsia" w:hAnsi="宋体" w:cs="宋体"/>
          <w:color w:val="auto"/>
          <w:kern w:val="2"/>
          <w:sz w:val="21"/>
          <w:highlight w:val="none"/>
        </w:rPr>
        <w:t>10.“节能产品”或者“环境标志产品”是指《节能产品政府采购品目清单》或者《环境标志产品政府采购品目清单》范围内的产品。</w:t>
      </w:r>
    </w:p>
    <w:p>
      <w:pPr>
        <w:autoSpaceDE/>
        <w:autoSpaceDN/>
        <w:adjustRightInd/>
        <w:spacing w:line="360" w:lineRule="auto"/>
        <w:ind w:firstLine="420" w:firstLineChars="200"/>
        <w:jc w:val="both"/>
        <w:rPr>
          <w:rFonts w:hAnsi="宋体" w:cs="宋体"/>
          <w:color w:val="auto"/>
          <w:kern w:val="2"/>
          <w:sz w:val="21"/>
          <w:highlight w:val="none"/>
        </w:rPr>
      </w:pPr>
      <w:r>
        <w:rPr>
          <w:rFonts w:hint="eastAsia" w:hAnsi="宋体" w:cs="宋体"/>
          <w:color w:val="auto"/>
          <w:kern w:val="2"/>
          <w:sz w:val="21"/>
          <w:highlight w:val="none"/>
        </w:rPr>
        <w:t>11.“进口产品”是指通过中国海关报关验放进入中国境内且产自关境外的产品。</w:t>
      </w:r>
    </w:p>
    <w:p>
      <w:pPr>
        <w:autoSpaceDE/>
        <w:autoSpaceDN/>
        <w:adjustRightInd/>
        <w:spacing w:line="360" w:lineRule="auto"/>
        <w:ind w:firstLine="420" w:firstLineChars="200"/>
        <w:jc w:val="both"/>
        <w:rPr>
          <w:rFonts w:hAnsi="宋体" w:cs="宋体"/>
          <w:color w:val="auto"/>
          <w:kern w:val="2"/>
          <w:sz w:val="21"/>
          <w:highlight w:val="none"/>
        </w:rPr>
      </w:pPr>
      <w:r>
        <w:rPr>
          <w:rFonts w:hint="eastAsia" w:hAnsi="宋体" w:cs="宋体"/>
          <w:color w:val="auto"/>
          <w:kern w:val="2"/>
          <w:sz w:val="21"/>
          <w:highlight w:val="none"/>
        </w:rPr>
        <w:t>12.日期、天数、时间：未有特别说明时，均为公历日（天）及北京时间。</w:t>
      </w:r>
    </w:p>
    <w:p>
      <w:pPr>
        <w:pStyle w:val="3"/>
        <w:numPr>
          <w:ilvl w:val="0"/>
          <w:numId w:val="19"/>
        </w:numPr>
        <w:spacing w:line="360" w:lineRule="auto"/>
        <w:rPr>
          <w:rFonts w:hAnsi="宋体"/>
          <w:b/>
          <w:bCs/>
          <w:color w:val="auto"/>
          <w:kern w:val="44"/>
          <w:highlight w:val="none"/>
          <w:lang w:val="zh-CN"/>
        </w:rPr>
      </w:pPr>
      <w:bookmarkStart w:id="60" w:name="_Toc27585"/>
      <w:r>
        <w:rPr>
          <w:rFonts w:hint="eastAsia" w:hAnsi="宋体"/>
          <w:b/>
          <w:bCs/>
          <w:color w:val="auto"/>
          <w:kern w:val="44"/>
          <w:highlight w:val="none"/>
          <w:lang w:val="zh-CN"/>
        </w:rPr>
        <w:t>须知前附表</w:t>
      </w:r>
      <w:bookmarkEnd w:id="60"/>
    </w:p>
    <w:tbl>
      <w:tblPr>
        <w:tblStyle w:val="48"/>
        <w:tblW w:w="5000" w:type="pct"/>
        <w:jc w:val="center"/>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87"/>
        <w:gridCol w:w="1988"/>
        <w:gridCol w:w="5547"/>
      </w:tblGrid>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tblHeader/>
          <w:jc w:val="center"/>
        </w:trPr>
        <w:tc>
          <w:tcPr>
            <w:tcW w:w="579" w:type="pct"/>
            <w:tcBorders>
              <w:top w:val="double" w:color="auto" w:sz="4" w:space="0"/>
              <w:left w:val="double" w:color="auto" w:sz="4" w:space="0"/>
              <w:bottom w:val="single" w:color="auto" w:sz="4" w:space="0"/>
              <w:right w:val="single" w:color="auto" w:sz="4" w:space="0"/>
            </w:tcBorders>
            <w:vAlign w:val="center"/>
          </w:tcPr>
          <w:p>
            <w:pPr>
              <w:spacing w:line="420" w:lineRule="exact"/>
              <w:jc w:val="center"/>
              <w:rPr>
                <w:rFonts w:hAnsi="宋体"/>
                <w:b/>
                <w:bCs/>
                <w:color w:val="auto"/>
                <w:sz w:val="21"/>
                <w:szCs w:val="21"/>
                <w:highlight w:val="none"/>
              </w:rPr>
            </w:pPr>
            <w:r>
              <w:rPr>
                <w:rFonts w:hint="eastAsia" w:hAnsi="宋体"/>
                <w:b/>
                <w:bCs/>
                <w:color w:val="auto"/>
                <w:sz w:val="21"/>
                <w:szCs w:val="21"/>
                <w:highlight w:val="none"/>
              </w:rPr>
              <w:t>项目</w:t>
            </w:r>
          </w:p>
        </w:tc>
        <w:tc>
          <w:tcPr>
            <w:tcW w:w="1166" w:type="pct"/>
            <w:tcBorders>
              <w:top w:val="double" w:color="auto" w:sz="4" w:space="0"/>
              <w:left w:val="single" w:color="auto" w:sz="4" w:space="0"/>
              <w:bottom w:val="single" w:color="auto" w:sz="4" w:space="0"/>
              <w:right w:val="single" w:color="auto" w:sz="4" w:space="0"/>
            </w:tcBorders>
            <w:vAlign w:val="center"/>
          </w:tcPr>
          <w:p>
            <w:pPr>
              <w:spacing w:line="420" w:lineRule="exact"/>
              <w:jc w:val="center"/>
              <w:rPr>
                <w:rFonts w:hAnsi="宋体"/>
                <w:b/>
                <w:bCs/>
                <w:color w:val="auto"/>
                <w:sz w:val="21"/>
                <w:szCs w:val="21"/>
                <w:highlight w:val="none"/>
              </w:rPr>
            </w:pPr>
            <w:r>
              <w:rPr>
                <w:rFonts w:hint="eastAsia" w:hAnsi="宋体"/>
                <w:b/>
                <w:bCs/>
                <w:color w:val="auto"/>
                <w:sz w:val="21"/>
                <w:szCs w:val="21"/>
                <w:highlight w:val="none"/>
              </w:rPr>
              <w:t>内容</w:t>
            </w:r>
          </w:p>
        </w:tc>
        <w:tc>
          <w:tcPr>
            <w:tcW w:w="3253" w:type="pct"/>
            <w:tcBorders>
              <w:top w:val="double" w:color="auto" w:sz="4" w:space="0"/>
              <w:left w:val="single" w:color="auto" w:sz="4" w:space="0"/>
              <w:bottom w:val="single" w:color="auto" w:sz="4" w:space="0"/>
              <w:right w:val="double" w:color="auto" w:sz="4" w:space="0"/>
            </w:tcBorders>
            <w:vAlign w:val="center"/>
          </w:tcPr>
          <w:p>
            <w:pPr>
              <w:spacing w:line="420" w:lineRule="exact"/>
              <w:jc w:val="center"/>
              <w:rPr>
                <w:rFonts w:hAnsi="宋体"/>
                <w:b/>
                <w:bCs/>
                <w:color w:val="auto"/>
                <w:sz w:val="21"/>
                <w:szCs w:val="21"/>
                <w:highlight w:val="none"/>
              </w:rPr>
            </w:pPr>
            <w:r>
              <w:rPr>
                <w:rFonts w:hint="eastAsia" w:hAnsi="宋体"/>
                <w:b/>
                <w:bCs/>
                <w:color w:val="auto"/>
                <w:sz w:val="21"/>
                <w:szCs w:val="21"/>
                <w:highlight w:val="none"/>
              </w:rPr>
              <w:t>说明与要求</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579" w:type="pct"/>
            <w:tcBorders>
              <w:top w:val="single" w:color="auto" w:sz="4" w:space="0"/>
              <w:left w:val="double" w:color="auto" w:sz="4" w:space="0"/>
              <w:bottom w:val="single" w:color="auto" w:sz="4" w:space="0"/>
              <w:right w:val="single" w:color="auto" w:sz="4"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1</w:t>
            </w:r>
          </w:p>
        </w:tc>
        <w:tc>
          <w:tcPr>
            <w:tcW w:w="1166" w:type="pct"/>
            <w:tcBorders>
              <w:top w:val="single" w:color="auto" w:sz="4" w:space="0"/>
              <w:left w:val="single" w:color="auto" w:sz="4" w:space="0"/>
              <w:bottom w:val="single" w:color="auto" w:sz="4" w:space="0"/>
              <w:right w:val="single" w:color="auto" w:sz="4" w:space="0"/>
            </w:tcBorders>
            <w:vAlign w:val="center"/>
          </w:tcPr>
          <w:p>
            <w:pPr>
              <w:spacing w:line="420" w:lineRule="exact"/>
              <w:ind w:right="-185" w:rightChars="-77"/>
              <w:jc w:val="center"/>
              <w:rPr>
                <w:rFonts w:hAnsi="宋体"/>
                <w:bCs/>
                <w:color w:val="auto"/>
                <w:sz w:val="21"/>
                <w:szCs w:val="21"/>
                <w:highlight w:val="none"/>
              </w:rPr>
            </w:pPr>
            <w:r>
              <w:rPr>
                <w:rFonts w:hint="eastAsia" w:hAnsi="宋体"/>
                <w:bCs/>
                <w:color w:val="auto"/>
                <w:sz w:val="21"/>
                <w:szCs w:val="21"/>
                <w:highlight w:val="none"/>
              </w:rPr>
              <w:t>采购包情况</w:t>
            </w:r>
          </w:p>
        </w:tc>
        <w:tc>
          <w:tcPr>
            <w:tcW w:w="3253" w:type="pct"/>
            <w:tcBorders>
              <w:top w:val="single" w:color="auto" w:sz="4" w:space="0"/>
              <w:left w:val="single" w:color="auto" w:sz="4" w:space="0"/>
              <w:bottom w:val="single" w:color="auto" w:sz="4" w:space="0"/>
              <w:right w:val="double" w:color="auto" w:sz="4" w:space="0"/>
            </w:tcBorders>
            <w:vAlign w:val="center"/>
          </w:tcPr>
          <w:p>
            <w:pPr>
              <w:spacing w:line="420" w:lineRule="exact"/>
              <w:rPr>
                <w:rFonts w:hAnsi="宋体"/>
                <w:color w:val="auto"/>
                <w:sz w:val="21"/>
                <w:szCs w:val="21"/>
                <w:highlight w:val="none"/>
              </w:rPr>
            </w:pPr>
            <w:r>
              <w:rPr>
                <w:rFonts w:hint="eastAsia" w:hAnsi="宋体"/>
                <w:color w:val="auto"/>
                <w:sz w:val="21"/>
                <w:szCs w:val="21"/>
                <w:highlight w:val="none"/>
              </w:rPr>
              <w:t>本项目共1个采购包</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579" w:type="pct"/>
            <w:tcBorders>
              <w:top w:val="single" w:color="auto" w:sz="4" w:space="0"/>
              <w:left w:val="double" w:color="auto" w:sz="4" w:space="0"/>
              <w:bottom w:val="single" w:color="auto" w:sz="4" w:space="0"/>
              <w:right w:val="single" w:color="auto" w:sz="4"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2</w:t>
            </w:r>
          </w:p>
        </w:tc>
        <w:tc>
          <w:tcPr>
            <w:tcW w:w="1166" w:type="pct"/>
            <w:tcBorders>
              <w:top w:val="single" w:color="auto" w:sz="4" w:space="0"/>
              <w:left w:val="single" w:color="auto" w:sz="4" w:space="0"/>
              <w:bottom w:val="single" w:color="auto" w:sz="4" w:space="0"/>
              <w:right w:val="single" w:color="auto" w:sz="4" w:space="0"/>
            </w:tcBorders>
            <w:vAlign w:val="center"/>
          </w:tcPr>
          <w:p>
            <w:pPr>
              <w:spacing w:line="420" w:lineRule="exact"/>
              <w:ind w:right="-185" w:rightChars="-77"/>
              <w:jc w:val="center"/>
              <w:rPr>
                <w:rFonts w:hAnsi="宋体"/>
                <w:bCs/>
                <w:color w:val="auto"/>
                <w:sz w:val="21"/>
                <w:szCs w:val="21"/>
                <w:highlight w:val="none"/>
              </w:rPr>
            </w:pPr>
            <w:r>
              <w:rPr>
                <w:rFonts w:hint="eastAsia" w:hAnsi="宋体"/>
                <w:bCs/>
                <w:color w:val="auto"/>
                <w:sz w:val="21"/>
                <w:szCs w:val="21"/>
                <w:highlight w:val="none"/>
              </w:rPr>
              <w:t>开标方式</w:t>
            </w:r>
          </w:p>
        </w:tc>
        <w:tc>
          <w:tcPr>
            <w:tcW w:w="3253" w:type="pct"/>
            <w:tcBorders>
              <w:top w:val="single" w:color="auto" w:sz="4" w:space="0"/>
              <w:left w:val="single" w:color="auto" w:sz="4" w:space="0"/>
              <w:bottom w:val="single" w:color="auto" w:sz="4" w:space="0"/>
              <w:right w:val="double" w:color="auto" w:sz="4" w:space="0"/>
            </w:tcBorders>
            <w:vAlign w:val="center"/>
          </w:tcPr>
          <w:p>
            <w:pPr>
              <w:spacing w:line="420" w:lineRule="exact"/>
              <w:rPr>
                <w:rFonts w:hAnsi="宋体"/>
                <w:color w:val="auto"/>
                <w:sz w:val="21"/>
                <w:szCs w:val="21"/>
                <w:highlight w:val="none"/>
              </w:rPr>
            </w:pPr>
            <w:r>
              <w:rPr>
                <w:rFonts w:hint="eastAsia" w:hAnsi="宋体"/>
                <w:color w:val="auto"/>
                <w:sz w:val="21"/>
                <w:szCs w:val="21"/>
                <w:highlight w:val="none"/>
              </w:rPr>
              <w:t>现场开标</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579" w:type="pct"/>
            <w:tcBorders>
              <w:top w:val="single" w:color="auto" w:sz="4" w:space="0"/>
              <w:left w:val="double" w:color="auto" w:sz="4" w:space="0"/>
              <w:bottom w:val="single" w:color="auto" w:sz="4" w:space="0"/>
              <w:right w:val="single" w:color="auto" w:sz="4"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3</w:t>
            </w:r>
          </w:p>
        </w:tc>
        <w:tc>
          <w:tcPr>
            <w:tcW w:w="1166" w:type="pct"/>
            <w:tcBorders>
              <w:top w:val="single" w:color="auto" w:sz="4" w:space="0"/>
              <w:left w:val="single" w:color="auto" w:sz="4" w:space="0"/>
              <w:bottom w:val="single" w:color="auto" w:sz="4" w:space="0"/>
              <w:right w:val="single" w:color="auto" w:sz="4" w:space="0"/>
            </w:tcBorders>
            <w:vAlign w:val="center"/>
          </w:tcPr>
          <w:p>
            <w:pPr>
              <w:spacing w:line="420" w:lineRule="exact"/>
              <w:ind w:right="-185" w:rightChars="-77"/>
              <w:jc w:val="center"/>
              <w:rPr>
                <w:rFonts w:hAnsi="宋体"/>
                <w:bCs/>
                <w:color w:val="auto"/>
                <w:sz w:val="21"/>
                <w:szCs w:val="21"/>
                <w:highlight w:val="none"/>
              </w:rPr>
            </w:pPr>
            <w:r>
              <w:rPr>
                <w:rFonts w:hint="eastAsia" w:hAnsi="宋体"/>
                <w:bCs/>
                <w:color w:val="auto"/>
                <w:sz w:val="21"/>
                <w:szCs w:val="21"/>
                <w:highlight w:val="none"/>
              </w:rPr>
              <w:t>评标方式</w:t>
            </w:r>
          </w:p>
        </w:tc>
        <w:tc>
          <w:tcPr>
            <w:tcW w:w="3253" w:type="pct"/>
            <w:tcBorders>
              <w:top w:val="single" w:color="auto" w:sz="4" w:space="0"/>
              <w:left w:val="single" w:color="auto" w:sz="4" w:space="0"/>
              <w:bottom w:val="single" w:color="auto" w:sz="4" w:space="0"/>
              <w:right w:val="double" w:color="auto" w:sz="4" w:space="0"/>
            </w:tcBorders>
            <w:vAlign w:val="center"/>
          </w:tcPr>
          <w:p>
            <w:pPr>
              <w:spacing w:line="420" w:lineRule="exact"/>
              <w:rPr>
                <w:rFonts w:cs="宋体"/>
                <w:color w:val="auto"/>
                <w:sz w:val="21"/>
                <w:szCs w:val="19"/>
                <w:highlight w:val="none"/>
              </w:rPr>
            </w:pPr>
            <w:r>
              <w:rPr>
                <w:rFonts w:hint="eastAsia" w:cs="宋体"/>
                <w:color w:val="auto"/>
                <w:sz w:val="21"/>
                <w:szCs w:val="19"/>
                <w:highlight w:val="none"/>
              </w:rPr>
              <w:t>现场评标（供应商应当审慎标记各评审项的应答部分，标记内容清晰且完整，否则将自行承担不利后果）</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579" w:type="pct"/>
            <w:tcBorders>
              <w:top w:val="single" w:color="auto" w:sz="4" w:space="0"/>
              <w:left w:val="double" w:color="auto" w:sz="4" w:space="0"/>
              <w:bottom w:val="single" w:color="auto" w:sz="4" w:space="0"/>
              <w:right w:val="single" w:color="auto" w:sz="4"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4</w:t>
            </w:r>
          </w:p>
        </w:tc>
        <w:tc>
          <w:tcPr>
            <w:tcW w:w="1166" w:type="pct"/>
            <w:tcBorders>
              <w:top w:val="single" w:color="auto" w:sz="4" w:space="0"/>
              <w:left w:val="single" w:color="auto" w:sz="4" w:space="0"/>
              <w:bottom w:val="single" w:color="auto" w:sz="4" w:space="0"/>
              <w:right w:val="single" w:color="auto" w:sz="4" w:space="0"/>
            </w:tcBorders>
            <w:vAlign w:val="center"/>
          </w:tcPr>
          <w:p>
            <w:pPr>
              <w:spacing w:line="420" w:lineRule="exact"/>
              <w:ind w:right="-185" w:rightChars="-77"/>
              <w:jc w:val="center"/>
              <w:rPr>
                <w:rFonts w:hAnsi="宋体"/>
                <w:bCs/>
                <w:color w:val="auto"/>
                <w:sz w:val="21"/>
                <w:szCs w:val="21"/>
                <w:highlight w:val="none"/>
              </w:rPr>
            </w:pPr>
            <w:r>
              <w:rPr>
                <w:rFonts w:hint="eastAsia" w:hAnsi="宋体"/>
                <w:bCs/>
                <w:color w:val="auto"/>
                <w:sz w:val="21"/>
                <w:szCs w:val="21"/>
                <w:highlight w:val="none"/>
              </w:rPr>
              <w:t>评标办法</w:t>
            </w:r>
          </w:p>
        </w:tc>
        <w:tc>
          <w:tcPr>
            <w:tcW w:w="3253" w:type="pct"/>
            <w:tcBorders>
              <w:top w:val="single" w:color="auto" w:sz="4" w:space="0"/>
              <w:left w:val="single" w:color="auto" w:sz="4" w:space="0"/>
              <w:bottom w:val="single" w:color="auto" w:sz="4" w:space="0"/>
              <w:right w:val="double" w:color="auto" w:sz="4" w:space="0"/>
            </w:tcBorders>
            <w:vAlign w:val="center"/>
          </w:tcPr>
          <w:p>
            <w:pPr>
              <w:spacing w:line="420" w:lineRule="exact"/>
              <w:rPr>
                <w:rFonts w:hAnsi="宋体"/>
                <w:color w:val="auto"/>
                <w:sz w:val="21"/>
                <w:szCs w:val="21"/>
                <w:highlight w:val="none"/>
              </w:rPr>
            </w:pPr>
            <w:r>
              <w:rPr>
                <w:rFonts w:hint="eastAsia" w:hAnsi="宋体"/>
                <w:color w:val="auto"/>
                <w:sz w:val="21"/>
                <w:szCs w:val="21"/>
                <w:highlight w:val="none"/>
              </w:rPr>
              <w:t>采购包1：综合评分法</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579" w:type="pct"/>
            <w:tcBorders>
              <w:top w:val="single" w:color="auto" w:sz="4" w:space="0"/>
              <w:left w:val="double" w:color="auto" w:sz="4" w:space="0"/>
              <w:bottom w:val="single" w:color="auto" w:sz="4" w:space="0"/>
              <w:right w:val="single" w:color="auto" w:sz="4"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5</w:t>
            </w:r>
          </w:p>
        </w:tc>
        <w:tc>
          <w:tcPr>
            <w:tcW w:w="1166" w:type="pct"/>
            <w:tcBorders>
              <w:top w:val="single" w:color="auto" w:sz="4" w:space="0"/>
              <w:left w:val="single" w:color="auto" w:sz="4" w:space="0"/>
              <w:bottom w:val="single" w:color="auto" w:sz="4" w:space="0"/>
              <w:right w:val="single" w:color="auto" w:sz="4" w:space="0"/>
            </w:tcBorders>
            <w:vAlign w:val="center"/>
          </w:tcPr>
          <w:p>
            <w:pPr>
              <w:spacing w:line="420" w:lineRule="exact"/>
              <w:ind w:right="-185" w:rightChars="-77"/>
              <w:jc w:val="center"/>
              <w:rPr>
                <w:rFonts w:hAnsi="宋体"/>
                <w:bCs/>
                <w:color w:val="auto"/>
                <w:sz w:val="21"/>
                <w:szCs w:val="21"/>
                <w:highlight w:val="none"/>
              </w:rPr>
            </w:pPr>
            <w:r>
              <w:rPr>
                <w:rFonts w:hint="eastAsia" w:hAnsi="宋体"/>
                <w:bCs/>
                <w:color w:val="auto"/>
                <w:sz w:val="21"/>
                <w:szCs w:val="21"/>
                <w:highlight w:val="none"/>
              </w:rPr>
              <w:t>报价形式</w:t>
            </w:r>
          </w:p>
        </w:tc>
        <w:tc>
          <w:tcPr>
            <w:tcW w:w="3253" w:type="pct"/>
            <w:tcBorders>
              <w:top w:val="single" w:color="auto" w:sz="4" w:space="0"/>
              <w:left w:val="single" w:color="auto" w:sz="4" w:space="0"/>
              <w:bottom w:val="single" w:color="auto" w:sz="4" w:space="0"/>
              <w:right w:val="double" w:color="auto" w:sz="4" w:space="0"/>
            </w:tcBorders>
            <w:vAlign w:val="center"/>
          </w:tcPr>
          <w:p>
            <w:pPr>
              <w:spacing w:line="420" w:lineRule="exact"/>
              <w:rPr>
                <w:rFonts w:hAnsi="宋体"/>
                <w:color w:val="auto"/>
                <w:sz w:val="21"/>
                <w:szCs w:val="21"/>
                <w:highlight w:val="none"/>
              </w:rPr>
            </w:pPr>
            <w:r>
              <w:rPr>
                <w:rFonts w:hint="eastAsia" w:hAnsi="宋体"/>
                <w:color w:val="auto"/>
                <w:sz w:val="21"/>
                <w:szCs w:val="21"/>
                <w:highlight w:val="none"/>
              </w:rPr>
              <w:t>采购包1：总价</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579" w:type="pct"/>
            <w:tcBorders>
              <w:top w:val="single" w:color="auto" w:sz="4" w:space="0"/>
              <w:left w:val="double" w:color="auto" w:sz="4" w:space="0"/>
              <w:bottom w:val="single" w:color="auto" w:sz="4" w:space="0"/>
              <w:right w:val="single" w:color="auto" w:sz="4"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6</w:t>
            </w:r>
          </w:p>
        </w:tc>
        <w:tc>
          <w:tcPr>
            <w:tcW w:w="1166" w:type="pct"/>
            <w:tcBorders>
              <w:top w:val="single" w:color="auto" w:sz="4" w:space="0"/>
              <w:left w:val="single" w:color="auto" w:sz="4" w:space="0"/>
              <w:bottom w:val="single" w:color="auto" w:sz="4" w:space="0"/>
              <w:right w:val="single" w:color="auto" w:sz="4" w:space="0"/>
            </w:tcBorders>
            <w:vAlign w:val="center"/>
          </w:tcPr>
          <w:p>
            <w:pPr>
              <w:spacing w:line="420" w:lineRule="exact"/>
              <w:ind w:right="-185" w:rightChars="-77"/>
              <w:jc w:val="center"/>
              <w:rPr>
                <w:rFonts w:hAnsi="宋体"/>
                <w:bCs/>
                <w:color w:val="auto"/>
                <w:sz w:val="21"/>
                <w:szCs w:val="21"/>
                <w:highlight w:val="none"/>
              </w:rPr>
            </w:pPr>
            <w:r>
              <w:rPr>
                <w:rFonts w:hint="eastAsia" w:hAnsi="宋体"/>
                <w:bCs/>
                <w:color w:val="auto"/>
                <w:sz w:val="21"/>
                <w:szCs w:val="21"/>
                <w:highlight w:val="none"/>
              </w:rPr>
              <w:t>报价要求</w:t>
            </w:r>
          </w:p>
        </w:tc>
        <w:tc>
          <w:tcPr>
            <w:tcW w:w="3253" w:type="pct"/>
            <w:tcBorders>
              <w:top w:val="single" w:color="auto" w:sz="4" w:space="0"/>
              <w:left w:val="single" w:color="auto" w:sz="4" w:space="0"/>
              <w:bottom w:val="single" w:color="auto" w:sz="4" w:space="0"/>
              <w:right w:val="double" w:color="auto" w:sz="4" w:space="0"/>
            </w:tcBorders>
            <w:vAlign w:val="center"/>
          </w:tcPr>
          <w:p>
            <w:pPr>
              <w:spacing w:line="420" w:lineRule="exact"/>
              <w:rPr>
                <w:rFonts w:hAnsi="宋体"/>
                <w:color w:val="auto"/>
                <w:sz w:val="21"/>
                <w:szCs w:val="21"/>
                <w:highlight w:val="none"/>
              </w:rPr>
            </w:pPr>
            <w:r>
              <w:rPr>
                <w:rFonts w:hint="eastAsia" w:hAnsi="宋体"/>
                <w:color w:val="auto"/>
                <w:sz w:val="21"/>
                <w:szCs w:val="21"/>
                <w:highlight w:val="none"/>
              </w:rPr>
              <w:t>各采购包报价不超过最高限价</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579" w:type="pct"/>
            <w:tcBorders>
              <w:top w:val="single" w:color="auto" w:sz="4" w:space="0"/>
              <w:left w:val="double" w:color="auto" w:sz="4" w:space="0"/>
              <w:bottom w:val="single" w:color="auto" w:sz="4" w:space="0"/>
              <w:right w:val="single" w:color="auto" w:sz="4"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7</w:t>
            </w:r>
          </w:p>
        </w:tc>
        <w:tc>
          <w:tcPr>
            <w:tcW w:w="1166" w:type="pct"/>
            <w:tcBorders>
              <w:top w:val="single" w:color="auto" w:sz="4" w:space="0"/>
              <w:left w:val="single" w:color="auto" w:sz="4" w:space="0"/>
              <w:bottom w:val="single" w:color="auto" w:sz="4" w:space="0"/>
              <w:right w:val="single" w:color="auto" w:sz="4" w:space="0"/>
            </w:tcBorders>
            <w:vAlign w:val="center"/>
          </w:tcPr>
          <w:p>
            <w:pPr>
              <w:spacing w:line="420" w:lineRule="exact"/>
              <w:ind w:right="-185" w:rightChars="-77"/>
              <w:jc w:val="center"/>
              <w:rPr>
                <w:rFonts w:hAnsi="宋体"/>
                <w:bCs/>
                <w:color w:val="auto"/>
                <w:sz w:val="21"/>
                <w:szCs w:val="21"/>
                <w:highlight w:val="none"/>
              </w:rPr>
            </w:pPr>
            <w:r>
              <w:rPr>
                <w:rFonts w:hint="eastAsia" w:hAnsi="宋体"/>
                <w:bCs/>
                <w:color w:val="auto"/>
                <w:sz w:val="21"/>
                <w:szCs w:val="21"/>
                <w:highlight w:val="none"/>
              </w:rPr>
              <w:t>现场踏勘</w:t>
            </w:r>
          </w:p>
        </w:tc>
        <w:tc>
          <w:tcPr>
            <w:tcW w:w="3253" w:type="pct"/>
            <w:tcBorders>
              <w:top w:val="single" w:color="auto" w:sz="4" w:space="0"/>
              <w:left w:val="single" w:color="auto" w:sz="4" w:space="0"/>
              <w:bottom w:val="single" w:color="auto" w:sz="4" w:space="0"/>
              <w:right w:val="double" w:color="auto" w:sz="4" w:space="0"/>
            </w:tcBorders>
            <w:vAlign w:val="center"/>
          </w:tcPr>
          <w:p>
            <w:pPr>
              <w:spacing w:line="420" w:lineRule="exact"/>
              <w:rPr>
                <w:rFonts w:hAnsi="宋体"/>
                <w:color w:val="auto"/>
                <w:sz w:val="21"/>
                <w:szCs w:val="21"/>
                <w:highlight w:val="none"/>
              </w:rPr>
            </w:pPr>
            <w:r>
              <w:rPr>
                <w:rFonts w:hint="eastAsia" w:hAnsi="宋体"/>
                <w:color w:val="auto"/>
                <w:sz w:val="21"/>
                <w:szCs w:val="21"/>
                <w:highlight w:val="none"/>
              </w:rPr>
              <w:t>否</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579" w:type="pct"/>
            <w:tcBorders>
              <w:top w:val="single" w:color="auto" w:sz="4" w:space="0"/>
              <w:left w:val="double" w:color="auto" w:sz="4" w:space="0"/>
              <w:bottom w:val="single" w:color="auto" w:sz="4" w:space="0"/>
              <w:right w:val="single" w:color="auto" w:sz="4"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8</w:t>
            </w:r>
          </w:p>
        </w:tc>
        <w:tc>
          <w:tcPr>
            <w:tcW w:w="1166" w:type="pct"/>
            <w:tcBorders>
              <w:top w:val="single" w:color="auto" w:sz="4" w:space="0"/>
              <w:left w:val="single" w:color="auto" w:sz="4" w:space="0"/>
              <w:bottom w:val="single" w:color="auto" w:sz="4" w:space="0"/>
              <w:right w:val="single" w:color="auto" w:sz="4" w:space="0"/>
            </w:tcBorders>
            <w:vAlign w:val="center"/>
          </w:tcPr>
          <w:p>
            <w:pPr>
              <w:spacing w:line="420" w:lineRule="exact"/>
              <w:ind w:right="-185" w:rightChars="-77"/>
              <w:jc w:val="center"/>
              <w:rPr>
                <w:rFonts w:hAnsi="宋体"/>
                <w:bCs/>
                <w:color w:val="auto"/>
                <w:sz w:val="21"/>
                <w:szCs w:val="21"/>
                <w:highlight w:val="none"/>
              </w:rPr>
            </w:pPr>
            <w:r>
              <w:rPr>
                <w:rFonts w:hint="eastAsia" w:hAnsi="宋体"/>
                <w:bCs/>
                <w:color w:val="auto"/>
                <w:sz w:val="21"/>
                <w:szCs w:val="21"/>
                <w:highlight w:val="none"/>
              </w:rPr>
              <w:t>响应有效期</w:t>
            </w:r>
          </w:p>
        </w:tc>
        <w:tc>
          <w:tcPr>
            <w:tcW w:w="3253" w:type="pct"/>
            <w:tcBorders>
              <w:top w:val="single" w:color="auto" w:sz="4" w:space="0"/>
              <w:left w:val="single" w:color="auto" w:sz="4" w:space="0"/>
              <w:bottom w:val="single" w:color="auto" w:sz="4" w:space="0"/>
              <w:right w:val="double" w:color="auto" w:sz="4" w:space="0"/>
            </w:tcBorders>
            <w:vAlign w:val="center"/>
          </w:tcPr>
          <w:p>
            <w:pPr>
              <w:spacing w:line="420" w:lineRule="exact"/>
              <w:rPr>
                <w:rFonts w:hAnsi="宋体"/>
                <w:color w:val="auto"/>
                <w:sz w:val="21"/>
                <w:szCs w:val="21"/>
                <w:highlight w:val="none"/>
              </w:rPr>
            </w:pPr>
            <w:r>
              <w:rPr>
                <w:rFonts w:hint="eastAsia" w:hAnsi="宋体"/>
                <w:color w:val="auto"/>
                <w:sz w:val="21"/>
                <w:szCs w:val="21"/>
                <w:highlight w:val="none"/>
              </w:rPr>
              <w:t>从提交投标（响应）文件的截止之日起90日历天</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579" w:type="pct"/>
            <w:tcBorders>
              <w:top w:val="single" w:color="auto" w:sz="4" w:space="0"/>
              <w:left w:val="double" w:color="auto" w:sz="4" w:space="0"/>
              <w:bottom w:val="single" w:color="auto" w:sz="4" w:space="0"/>
              <w:right w:val="single" w:color="auto" w:sz="4"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9</w:t>
            </w:r>
          </w:p>
        </w:tc>
        <w:tc>
          <w:tcPr>
            <w:tcW w:w="1166" w:type="pct"/>
            <w:tcBorders>
              <w:top w:val="single" w:color="auto" w:sz="4" w:space="0"/>
              <w:left w:val="single" w:color="auto" w:sz="4" w:space="0"/>
              <w:bottom w:val="single" w:color="auto" w:sz="4" w:space="0"/>
              <w:right w:val="single" w:color="auto" w:sz="4" w:space="0"/>
            </w:tcBorders>
            <w:vAlign w:val="center"/>
          </w:tcPr>
          <w:p>
            <w:pPr>
              <w:spacing w:line="420" w:lineRule="exact"/>
              <w:ind w:right="-185" w:rightChars="-77"/>
              <w:jc w:val="center"/>
              <w:rPr>
                <w:rFonts w:hAnsi="宋体"/>
                <w:bCs/>
                <w:color w:val="auto"/>
                <w:sz w:val="21"/>
                <w:szCs w:val="21"/>
                <w:highlight w:val="none"/>
              </w:rPr>
            </w:pPr>
            <w:r>
              <w:rPr>
                <w:rFonts w:hint="eastAsia" w:hAnsi="宋体"/>
                <w:bCs/>
                <w:color w:val="auto"/>
                <w:sz w:val="21"/>
                <w:szCs w:val="21"/>
                <w:highlight w:val="none"/>
              </w:rPr>
              <w:t>响应保证金</w:t>
            </w:r>
          </w:p>
        </w:tc>
        <w:tc>
          <w:tcPr>
            <w:tcW w:w="3253" w:type="pct"/>
            <w:tcBorders>
              <w:top w:val="single" w:color="auto" w:sz="4" w:space="0"/>
              <w:left w:val="single" w:color="auto" w:sz="4" w:space="0"/>
              <w:bottom w:val="single" w:color="auto" w:sz="4" w:space="0"/>
              <w:right w:val="double" w:color="auto" w:sz="4" w:space="0"/>
            </w:tcBorders>
            <w:vAlign w:val="center"/>
          </w:tcPr>
          <w:p>
            <w:pPr>
              <w:autoSpaceDE/>
              <w:autoSpaceDN/>
              <w:adjustRightInd/>
              <w:spacing w:line="420" w:lineRule="exact"/>
              <w:jc w:val="both"/>
              <w:rPr>
                <w:rFonts w:hAnsi="宋体"/>
                <w:color w:val="auto"/>
                <w:sz w:val="21"/>
                <w:szCs w:val="21"/>
                <w:highlight w:val="none"/>
              </w:rPr>
            </w:pPr>
            <w:r>
              <w:rPr>
                <w:rFonts w:hint="eastAsia" w:hAnsi="宋体"/>
                <w:bCs/>
                <w:color w:val="auto"/>
                <w:sz w:val="21"/>
                <w:szCs w:val="21"/>
                <w:highlight w:val="none"/>
              </w:rPr>
              <w:t>采购包1：保证金人民币：0.00</w:t>
            </w:r>
            <w:r>
              <w:rPr>
                <w:rFonts w:hint="eastAsia" w:hAnsi="宋体"/>
                <w:color w:val="auto"/>
                <w:sz w:val="21"/>
                <w:szCs w:val="21"/>
                <w:highlight w:val="none"/>
              </w:rPr>
              <w:t>元</w:t>
            </w:r>
          </w:p>
          <w:p>
            <w:pPr>
              <w:autoSpaceDE/>
              <w:autoSpaceDN/>
              <w:adjustRightInd/>
              <w:spacing w:line="420" w:lineRule="exact"/>
              <w:jc w:val="both"/>
              <w:rPr>
                <w:rFonts w:hAnsi="宋体"/>
                <w:color w:val="auto"/>
                <w:sz w:val="21"/>
                <w:szCs w:val="21"/>
                <w:highlight w:val="none"/>
              </w:rPr>
            </w:pPr>
            <w:r>
              <w:rPr>
                <w:rFonts w:hint="eastAsia" w:hAnsi="宋体"/>
                <w:color w:val="auto"/>
                <w:sz w:val="21"/>
                <w:szCs w:val="21"/>
                <w:highlight w:val="none"/>
              </w:rPr>
              <w:t>响应保证金账户：</w:t>
            </w:r>
          </w:p>
          <w:p>
            <w:pPr>
              <w:autoSpaceDE/>
              <w:autoSpaceDN/>
              <w:adjustRightInd/>
              <w:spacing w:line="420" w:lineRule="exact"/>
              <w:jc w:val="both"/>
              <w:rPr>
                <w:rFonts w:hAnsi="宋体"/>
                <w:color w:val="auto"/>
                <w:sz w:val="21"/>
                <w:szCs w:val="21"/>
                <w:highlight w:val="none"/>
              </w:rPr>
            </w:pPr>
            <w:r>
              <w:rPr>
                <w:rFonts w:hint="eastAsia" w:hAnsi="宋体"/>
                <w:color w:val="auto"/>
                <w:sz w:val="21"/>
                <w:szCs w:val="21"/>
                <w:highlight w:val="none"/>
              </w:rPr>
              <w:t>开户名称：/</w:t>
            </w:r>
          </w:p>
          <w:p>
            <w:pPr>
              <w:autoSpaceDE/>
              <w:autoSpaceDN/>
              <w:adjustRightInd/>
              <w:spacing w:line="420" w:lineRule="exact"/>
              <w:jc w:val="both"/>
              <w:rPr>
                <w:rFonts w:hAnsi="宋体"/>
                <w:color w:val="auto"/>
                <w:sz w:val="21"/>
                <w:szCs w:val="21"/>
                <w:highlight w:val="none"/>
              </w:rPr>
            </w:pPr>
            <w:r>
              <w:rPr>
                <w:rFonts w:hint="eastAsia" w:hAnsi="宋体"/>
                <w:color w:val="auto"/>
                <w:sz w:val="21"/>
                <w:szCs w:val="21"/>
                <w:highlight w:val="none"/>
              </w:rPr>
              <w:t>开户银行：/</w:t>
            </w:r>
          </w:p>
          <w:p>
            <w:pPr>
              <w:spacing w:line="420" w:lineRule="exact"/>
              <w:rPr>
                <w:rFonts w:hAnsi="宋体"/>
                <w:color w:val="auto"/>
                <w:sz w:val="21"/>
                <w:szCs w:val="21"/>
                <w:highlight w:val="none"/>
              </w:rPr>
            </w:pPr>
            <w:r>
              <w:rPr>
                <w:rFonts w:hint="eastAsia" w:hAnsi="宋体"/>
                <w:color w:val="auto"/>
                <w:sz w:val="21"/>
                <w:szCs w:val="21"/>
                <w:highlight w:val="none"/>
              </w:rPr>
              <w:t>账号：/</w:t>
            </w:r>
          </w:p>
          <w:p>
            <w:pPr>
              <w:spacing w:line="420" w:lineRule="exact"/>
              <w:rPr>
                <w:rFonts w:hAnsi="宋体"/>
                <w:color w:val="auto"/>
                <w:sz w:val="21"/>
                <w:szCs w:val="21"/>
                <w:highlight w:val="none"/>
              </w:rPr>
            </w:pPr>
            <w:r>
              <w:rPr>
                <w:rFonts w:hint="eastAsia" w:hAnsi="宋体"/>
                <w:color w:val="auto"/>
                <w:sz w:val="21"/>
                <w:szCs w:val="21"/>
                <w:highlight w:val="none"/>
              </w:rPr>
              <w:t>支票提交方式：/</w:t>
            </w:r>
          </w:p>
          <w:p>
            <w:pPr>
              <w:spacing w:line="420" w:lineRule="exact"/>
              <w:rPr>
                <w:rFonts w:hAnsi="宋体"/>
                <w:color w:val="auto"/>
                <w:sz w:val="21"/>
                <w:szCs w:val="21"/>
                <w:highlight w:val="none"/>
              </w:rPr>
            </w:pPr>
            <w:r>
              <w:rPr>
                <w:rFonts w:hint="eastAsia" w:hAnsi="宋体"/>
                <w:color w:val="auto"/>
                <w:sz w:val="21"/>
                <w:szCs w:val="21"/>
                <w:highlight w:val="none"/>
              </w:rPr>
              <w:t>投标保证金有效期∶/</w:t>
            </w:r>
          </w:p>
          <w:p>
            <w:pPr>
              <w:wordWrap w:val="0"/>
              <w:spacing w:line="420" w:lineRule="exact"/>
              <w:rPr>
                <w:rFonts w:hAnsi="宋体"/>
                <w:color w:val="auto"/>
                <w:sz w:val="21"/>
                <w:szCs w:val="21"/>
                <w:highlight w:val="none"/>
              </w:rPr>
            </w:pPr>
            <w:r>
              <w:rPr>
                <w:rFonts w:hint="eastAsia" w:hAnsi="宋体"/>
                <w:color w:val="auto"/>
                <w:sz w:val="21"/>
                <w:szCs w:val="21"/>
                <w:highlight w:val="none"/>
              </w:rPr>
              <w:t>投标保函提交方式：/</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579" w:type="pct"/>
            <w:tcBorders>
              <w:top w:val="single" w:color="auto" w:sz="4" w:space="0"/>
              <w:left w:val="double" w:color="auto" w:sz="4" w:space="0"/>
              <w:right w:val="single" w:color="auto" w:sz="4"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10</w:t>
            </w:r>
          </w:p>
        </w:tc>
        <w:tc>
          <w:tcPr>
            <w:tcW w:w="1166" w:type="pct"/>
            <w:tcBorders>
              <w:top w:val="single" w:color="auto" w:sz="4" w:space="0"/>
              <w:left w:val="single" w:color="auto" w:sz="4" w:space="0"/>
              <w:bottom w:val="single" w:color="auto" w:sz="4" w:space="0"/>
              <w:right w:val="single" w:color="auto" w:sz="4" w:space="0"/>
            </w:tcBorders>
            <w:vAlign w:val="center"/>
          </w:tcPr>
          <w:p>
            <w:pPr>
              <w:spacing w:line="420" w:lineRule="exact"/>
              <w:ind w:right="-185" w:rightChars="-77"/>
              <w:jc w:val="center"/>
              <w:rPr>
                <w:rFonts w:hAnsi="宋体"/>
                <w:bCs/>
                <w:color w:val="auto"/>
                <w:sz w:val="21"/>
                <w:szCs w:val="21"/>
                <w:highlight w:val="none"/>
              </w:rPr>
            </w:pPr>
            <w:r>
              <w:rPr>
                <w:rFonts w:hint="eastAsia" w:hAnsi="宋体"/>
                <w:bCs/>
                <w:color w:val="auto"/>
                <w:sz w:val="21"/>
                <w:szCs w:val="21"/>
                <w:highlight w:val="none"/>
              </w:rPr>
              <w:t>响应文件要求</w:t>
            </w:r>
          </w:p>
        </w:tc>
        <w:tc>
          <w:tcPr>
            <w:tcW w:w="3253" w:type="pct"/>
            <w:tcBorders>
              <w:top w:val="single" w:color="auto" w:sz="4" w:space="0"/>
              <w:left w:val="single" w:color="auto" w:sz="4" w:space="0"/>
              <w:bottom w:val="single" w:color="auto" w:sz="4" w:space="0"/>
              <w:right w:val="double" w:color="auto" w:sz="4" w:space="0"/>
            </w:tcBorders>
            <w:vAlign w:val="center"/>
          </w:tcPr>
          <w:p>
            <w:pPr>
              <w:spacing w:line="420" w:lineRule="exact"/>
              <w:rPr>
                <w:rFonts w:hAnsi="宋体"/>
                <w:color w:val="auto"/>
                <w:kern w:val="2"/>
                <w:sz w:val="21"/>
                <w:szCs w:val="21"/>
                <w:highlight w:val="none"/>
                <w:lang w:val="zh-CN"/>
              </w:rPr>
            </w:pPr>
            <w:r>
              <w:rPr>
                <w:rFonts w:hint="eastAsia" w:hAnsi="宋体"/>
                <w:color w:val="auto"/>
                <w:kern w:val="2"/>
                <w:sz w:val="21"/>
                <w:szCs w:val="21"/>
                <w:highlight w:val="none"/>
                <w:lang w:val="zh-CN"/>
              </w:rPr>
              <w:t>响应文件正本1份和副本</w:t>
            </w:r>
            <w:r>
              <w:rPr>
                <w:rFonts w:hint="eastAsia" w:hAnsi="宋体"/>
                <w:color w:val="auto"/>
                <w:kern w:val="2"/>
                <w:sz w:val="21"/>
                <w:szCs w:val="21"/>
                <w:highlight w:val="none"/>
              </w:rPr>
              <w:t>3</w:t>
            </w:r>
            <w:r>
              <w:rPr>
                <w:rFonts w:hint="eastAsia" w:hAnsi="宋体"/>
                <w:color w:val="auto"/>
                <w:kern w:val="2"/>
                <w:sz w:val="21"/>
                <w:szCs w:val="21"/>
                <w:highlight w:val="none"/>
                <w:lang w:val="zh-CN"/>
              </w:rPr>
              <w:t>份合并密封包装；</w:t>
            </w:r>
          </w:p>
          <w:p>
            <w:pPr>
              <w:spacing w:line="420" w:lineRule="exact"/>
              <w:rPr>
                <w:rFonts w:hAnsi="宋体"/>
                <w:color w:val="auto"/>
                <w:sz w:val="21"/>
                <w:szCs w:val="21"/>
                <w:highlight w:val="none"/>
                <w:u w:val="single"/>
              </w:rPr>
            </w:pPr>
            <w:r>
              <w:rPr>
                <w:rFonts w:hint="eastAsia" w:hAnsi="宋体"/>
                <w:color w:val="auto"/>
                <w:kern w:val="2"/>
                <w:sz w:val="21"/>
                <w:szCs w:val="21"/>
                <w:highlight w:val="none"/>
                <w:lang w:val="zh-CN"/>
              </w:rPr>
              <w:t>报价信封1份单独密封包装。</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579" w:type="pct"/>
            <w:tcBorders>
              <w:left w:val="double" w:color="auto" w:sz="4" w:space="0"/>
              <w:right w:val="single" w:color="auto" w:sz="4"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11</w:t>
            </w:r>
          </w:p>
        </w:tc>
        <w:tc>
          <w:tcPr>
            <w:tcW w:w="1166" w:type="pct"/>
            <w:tcBorders>
              <w:top w:val="single" w:color="auto" w:sz="4" w:space="0"/>
              <w:left w:val="single" w:color="auto" w:sz="4" w:space="0"/>
              <w:bottom w:val="single" w:color="auto" w:sz="4" w:space="0"/>
              <w:right w:val="single" w:color="auto" w:sz="4"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成交候选供应商推荐家数</w:t>
            </w:r>
          </w:p>
        </w:tc>
        <w:tc>
          <w:tcPr>
            <w:tcW w:w="3253" w:type="pct"/>
            <w:tcBorders>
              <w:top w:val="single" w:color="auto" w:sz="4" w:space="0"/>
              <w:left w:val="single" w:color="auto" w:sz="4" w:space="0"/>
              <w:bottom w:val="single" w:color="auto" w:sz="4" w:space="0"/>
              <w:right w:val="double" w:color="auto" w:sz="4" w:space="0"/>
            </w:tcBorders>
            <w:vAlign w:val="center"/>
          </w:tcPr>
          <w:p>
            <w:pPr>
              <w:spacing w:line="420" w:lineRule="exact"/>
              <w:rPr>
                <w:rFonts w:hAnsi="宋体"/>
                <w:color w:val="auto"/>
                <w:sz w:val="21"/>
                <w:szCs w:val="21"/>
                <w:highlight w:val="none"/>
              </w:rPr>
            </w:pPr>
            <w:r>
              <w:rPr>
                <w:rFonts w:hint="eastAsia" w:hAnsi="宋体"/>
                <w:color w:val="auto"/>
                <w:sz w:val="21"/>
                <w:szCs w:val="21"/>
                <w:highlight w:val="none"/>
              </w:rPr>
              <w:t>采购包1：3家</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579" w:type="pct"/>
            <w:tcBorders>
              <w:top w:val="single" w:color="auto" w:sz="4" w:space="0"/>
              <w:left w:val="double" w:color="auto" w:sz="4" w:space="0"/>
              <w:bottom w:val="single" w:color="auto" w:sz="4" w:space="0"/>
              <w:right w:val="single" w:color="auto" w:sz="4"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12</w:t>
            </w:r>
          </w:p>
        </w:tc>
        <w:tc>
          <w:tcPr>
            <w:tcW w:w="1166" w:type="pct"/>
            <w:tcBorders>
              <w:top w:val="single" w:color="auto" w:sz="4" w:space="0"/>
              <w:left w:val="single" w:color="auto" w:sz="4" w:space="0"/>
              <w:bottom w:val="single" w:color="auto" w:sz="4" w:space="0"/>
              <w:right w:val="single" w:color="auto" w:sz="4"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成交供应商数量</w:t>
            </w:r>
          </w:p>
        </w:tc>
        <w:tc>
          <w:tcPr>
            <w:tcW w:w="3253" w:type="pct"/>
            <w:tcBorders>
              <w:top w:val="single" w:color="auto" w:sz="4" w:space="0"/>
              <w:left w:val="single" w:color="auto" w:sz="4" w:space="0"/>
              <w:bottom w:val="single" w:color="auto" w:sz="4" w:space="0"/>
              <w:right w:val="double" w:color="auto" w:sz="4" w:space="0"/>
            </w:tcBorders>
            <w:vAlign w:val="center"/>
          </w:tcPr>
          <w:p>
            <w:pPr>
              <w:spacing w:line="420" w:lineRule="exact"/>
              <w:rPr>
                <w:rFonts w:hAnsi="宋体"/>
                <w:color w:val="auto"/>
                <w:sz w:val="21"/>
                <w:szCs w:val="21"/>
                <w:highlight w:val="none"/>
              </w:rPr>
            </w:pPr>
            <w:r>
              <w:rPr>
                <w:rFonts w:hint="eastAsia" w:hAnsi="宋体"/>
                <w:color w:val="auto"/>
                <w:sz w:val="21"/>
                <w:szCs w:val="21"/>
                <w:highlight w:val="none"/>
              </w:rPr>
              <w:t>采购包1：1家</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579" w:type="pct"/>
            <w:tcBorders>
              <w:top w:val="single" w:color="auto" w:sz="4" w:space="0"/>
              <w:left w:val="double" w:color="auto" w:sz="4" w:space="0"/>
              <w:bottom w:val="single" w:color="auto" w:sz="4" w:space="0"/>
              <w:right w:val="single" w:color="auto" w:sz="4"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13</w:t>
            </w:r>
          </w:p>
        </w:tc>
        <w:tc>
          <w:tcPr>
            <w:tcW w:w="1166" w:type="pct"/>
            <w:tcBorders>
              <w:top w:val="single" w:color="auto" w:sz="4" w:space="0"/>
              <w:left w:val="single" w:color="auto" w:sz="4" w:space="0"/>
              <w:bottom w:val="single" w:color="auto" w:sz="4" w:space="0"/>
              <w:right w:val="single" w:color="auto" w:sz="4"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有效供应商家数</w:t>
            </w:r>
          </w:p>
        </w:tc>
        <w:tc>
          <w:tcPr>
            <w:tcW w:w="3253" w:type="pct"/>
            <w:tcBorders>
              <w:top w:val="single" w:color="auto" w:sz="4" w:space="0"/>
              <w:left w:val="single" w:color="auto" w:sz="4" w:space="0"/>
              <w:bottom w:val="single" w:color="auto" w:sz="4" w:space="0"/>
              <w:right w:val="double" w:color="auto" w:sz="4" w:space="0"/>
            </w:tcBorders>
            <w:vAlign w:val="center"/>
          </w:tcPr>
          <w:p>
            <w:pPr>
              <w:spacing w:line="420" w:lineRule="exact"/>
              <w:rPr>
                <w:rFonts w:hAnsi="宋体"/>
                <w:color w:val="auto"/>
                <w:sz w:val="21"/>
                <w:szCs w:val="21"/>
                <w:highlight w:val="none"/>
              </w:rPr>
            </w:pPr>
            <w:r>
              <w:rPr>
                <w:rFonts w:hint="eastAsia" w:hAnsi="宋体"/>
                <w:color w:val="auto"/>
                <w:sz w:val="21"/>
                <w:szCs w:val="21"/>
                <w:highlight w:val="none"/>
              </w:rPr>
              <w:t>采购包1：3家</w:t>
            </w:r>
          </w:p>
          <w:p>
            <w:pPr>
              <w:spacing w:line="420" w:lineRule="exact"/>
              <w:rPr>
                <w:rFonts w:hAnsi="宋体"/>
                <w:color w:val="auto"/>
                <w:sz w:val="21"/>
                <w:szCs w:val="21"/>
                <w:highlight w:val="none"/>
              </w:rPr>
            </w:pPr>
            <w:r>
              <w:rPr>
                <w:rFonts w:hint="eastAsia" w:hAnsi="宋体"/>
                <w:color w:val="auto"/>
                <w:sz w:val="21"/>
                <w:szCs w:val="21"/>
                <w:highlight w:val="none"/>
              </w:rPr>
              <w:t>此人数约定了开标与评标过程中的最低有效供应商家数，当家数不足时项目将不得开标、不得评标或直接废标。</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298" w:hRule="atLeast"/>
          <w:jc w:val="center"/>
        </w:trPr>
        <w:tc>
          <w:tcPr>
            <w:tcW w:w="579" w:type="pct"/>
            <w:tcBorders>
              <w:top w:val="single" w:color="auto" w:sz="4" w:space="0"/>
              <w:left w:val="double" w:color="auto" w:sz="4" w:space="0"/>
              <w:bottom w:val="single" w:color="auto" w:sz="4" w:space="0"/>
              <w:right w:val="single" w:color="auto" w:sz="4"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14</w:t>
            </w:r>
          </w:p>
        </w:tc>
        <w:tc>
          <w:tcPr>
            <w:tcW w:w="1166" w:type="pct"/>
            <w:tcBorders>
              <w:top w:val="single" w:color="auto" w:sz="4" w:space="0"/>
              <w:left w:val="single" w:color="auto" w:sz="4" w:space="0"/>
              <w:bottom w:val="single" w:color="auto" w:sz="4" w:space="0"/>
              <w:right w:val="single" w:color="auto" w:sz="4"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项目兼投兼中规则</w:t>
            </w:r>
          </w:p>
        </w:tc>
        <w:tc>
          <w:tcPr>
            <w:tcW w:w="3253" w:type="pct"/>
            <w:tcBorders>
              <w:top w:val="single" w:color="auto" w:sz="4" w:space="0"/>
              <w:left w:val="single" w:color="auto" w:sz="4" w:space="0"/>
              <w:bottom w:val="single" w:color="auto" w:sz="4" w:space="0"/>
              <w:right w:val="double" w:color="auto" w:sz="4" w:space="0"/>
            </w:tcBorders>
            <w:vAlign w:val="center"/>
          </w:tcPr>
          <w:p>
            <w:pPr>
              <w:spacing w:line="420" w:lineRule="exact"/>
              <w:rPr>
                <w:rFonts w:hAnsi="宋体"/>
                <w:color w:val="auto"/>
                <w:sz w:val="21"/>
                <w:szCs w:val="21"/>
                <w:highlight w:val="none"/>
              </w:rPr>
            </w:pPr>
            <w:r>
              <w:rPr>
                <w:rFonts w:hint="eastAsia" w:hAnsi="宋体"/>
                <w:color w:val="auto"/>
                <w:sz w:val="21"/>
                <w:szCs w:val="21"/>
                <w:highlight w:val="none"/>
              </w:rPr>
              <w:t>/</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79" w:type="pct"/>
            <w:tcBorders>
              <w:top w:val="single" w:color="auto" w:sz="4" w:space="0"/>
              <w:left w:val="double" w:color="auto" w:sz="4" w:space="0"/>
              <w:bottom w:val="single" w:color="auto" w:sz="4" w:space="0"/>
              <w:right w:val="single" w:color="auto" w:sz="4"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15</w:t>
            </w:r>
          </w:p>
        </w:tc>
        <w:tc>
          <w:tcPr>
            <w:tcW w:w="1166" w:type="pct"/>
            <w:tcBorders>
              <w:top w:val="single" w:color="auto" w:sz="4" w:space="0"/>
              <w:left w:val="single" w:color="auto" w:sz="4" w:space="0"/>
              <w:bottom w:val="single" w:color="auto" w:sz="4" w:space="0"/>
              <w:right w:val="single" w:color="auto" w:sz="4"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成交供应商确定方式</w:t>
            </w:r>
          </w:p>
        </w:tc>
        <w:tc>
          <w:tcPr>
            <w:tcW w:w="3253" w:type="pct"/>
            <w:tcBorders>
              <w:top w:val="single" w:color="auto" w:sz="4" w:space="0"/>
              <w:left w:val="single" w:color="auto" w:sz="4" w:space="0"/>
              <w:bottom w:val="single" w:color="auto" w:sz="4" w:space="0"/>
              <w:right w:val="double" w:color="auto" w:sz="4" w:space="0"/>
            </w:tcBorders>
            <w:vAlign w:val="center"/>
          </w:tcPr>
          <w:p>
            <w:pPr>
              <w:spacing w:line="420" w:lineRule="exact"/>
              <w:rPr>
                <w:rFonts w:hAnsi="宋体"/>
                <w:color w:val="auto"/>
                <w:sz w:val="21"/>
                <w:szCs w:val="21"/>
                <w:highlight w:val="none"/>
              </w:rPr>
            </w:pPr>
            <w:r>
              <w:rPr>
                <w:rFonts w:hint="eastAsia" w:hAnsi="宋体"/>
                <w:color w:val="auto"/>
                <w:sz w:val="21"/>
                <w:szCs w:val="21"/>
                <w:highlight w:val="none"/>
              </w:rPr>
              <w:t>采购人按照评审报告中推荐的成交候选人确定成交（成交）人。</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79" w:type="pct"/>
            <w:tcBorders>
              <w:top w:val="single" w:color="auto" w:sz="4" w:space="0"/>
              <w:left w:val="double" w:color="auto" w:sz="4" w:space="0"/>
              <w:bottom w:val="single" w:color="auto" w:sz="4" w:space="0"/>
              <w:right w:val="single" w:color="auto" w:sz="4"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16</w:t>
            </w:r>
          </w:p>
        </w:tc>
        <w:tc>
          <w:tcPr>
            <w:tcW w:w="1166" w:type="pct"/>
            <w:tcBorders>
              <w:top w:val="single" w:color="auto" w:sz="4" w:space="0"/>
              <w:left w:val="single" w:color="auto" w:sz="4" w:space="0"/>
              <w:bottom w:val="single" w:color="auto" w:sz="4" w:space="0"/>
              <w:right w:val="single" w:color="auto" w:sz="4"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代理服务费</w:t>
            </w:r>
          </w:p>
        </w:tc>
        <w:tc>
          <w:tcPr>
            <w:tcW w:w="3253" w:type="pct"/>
            <w:tcBorders>
              <w:top w:val="single" w:color="auto" w:sz="4" w:space="0"/>
              <w:left w:val="single" w:color="auto" w:sz="4" w:space="0"/>
              <w:bottom w:val="single" w:color="auto" w:sz="4" w:space="0"/>
              <w:right w:val="double" w:color="auto" w:sz="4" w:space="0"/>
            </w:tcBorders>
            <w:vAlign w:val="center"/>
          </w:tcPr>
          <w:p>
            <w:pPr>
              <w:spacing w:line="420" w:lineRule="exact"/>
              <w:rPr>
                <w:rFonts w:hAnsi="宋体"/>
                <w:bCs/>
                <w:color w:val="auto"/>
                <w:sz w:val="21"/>
                <w:szCs w:val="21"/>
                <w:highlight w:val="none"/>
              </w:rPr>
            </w:pPr>
            <w:r>
              <w:rPr>
                <w:rFonts w:hint="eastAsia" w:hAnsi="宋体"/>
                <w:bCs/>
                <w:color w:val="auto"/>
                <w:sz w:val="21"/>
                <w:szCs w:val="21"/>
                <w:highlight w:val="none"/>
              </w:rPr>
              <w:t>收取。采购机构代理服务收费标准：差额定率累进法收费：以成交通知书中的成交金额作为采购代理服务费的计算基数。</w:t>
            </w:r>
            <w:r>
              <w:rPr>
                <w:color w:val="auto"/>
                <w:sz w:val="21"/>
                <w:szCs w:val="21"/>
                <w:highlight w:val="none"/>
              </w:rPr>
              <w:t>参照国家计委《招标代理服务收费管理暂行办法》（计价格[2002]1980号）及《国家发展改革委关于降低部分建设项目收费标准规范收费行为等有关问题的通知》（发改价格[2011]534号）规定收取。</w:t>
            </w:r>
          </w:p>
          <w:p>
            <w:pPr>
              <w:spacing w:line="420" w:lineRule="exact"/>
              <w:rPr>
                <w:color w:val="auto"/>
                <w:highlight w:val="none"/>
              </w:rPr>
            </w:pPr>
            <w:r>
              <w:rPr>
                <w:rFonts w:hint="eastAsia" w:hAnsi="宋体"/>
                <w:bCs/>
                <w:color w:val="auto"/>
                <w:sz w:val="21"/>
                <w:szCs w:val="21"/>
                <w:highlight w:val="none"/>
              </w:rPr>
              <w:t>注：上述标准低于7000元的按7000元定额收费。</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674" w:hRule="atLeast"/>
          <w:jc w:val="center"/>
        </w:trPr>
        <w:tc>
          <w:tcPr>
            <w:tcW w:w="579" w:type="pct"/>
            <w:tcBorders>
              <w:top w:val="single" w:color="auto" w:sz="4" w:space="0"/>
              <w:left w:val="double" w:color="auto" w:sz="4" w:space="0"/>
              <w:bottom w:val="single" w:color="auto" w:sz="4" w:space="0"/>
              <w:right w:val="single" w:color="auto" w:sz="4"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17</w:t>
            </w:r>
          </w:p>
        </w:tc>
        <w:tc>
          <w:tcPr>
            <w:tcW w:w="1166" w:type="pct"/>
            <w:tcBorders>
              <w:top w:val="single" w:color="auto" w:sz="4" w:space="0"/>
              <w:left w:val="single" w:color="auto" w:sz="4" w:space="0"/>
              <w:bottom w:val="single" w:color="auto" w:sz="4" w:space="0"/>
              <w:right w:val="single" w:color="auto" w:sz="4"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代理服务费收取方式</w:t>
            </w:r>
          </w:p>
        </w:tc>
        <w:tc>
          <w:tcPr>
            <w:tcW w:w="3253" w:type="pct"/>
            <w:tcBorders>
              <w:top w:val="single" w:color="auto" w:sz="4" w:space="0"/>
              <w:left w:val="single" w:color="auto" w:sz="4" w:space="0"/>
              <w:bottom w:val="single" w:color="auto" w:sz="4" w:space="0"/>
              <w:right w:val="double" w:color="auto" w:sz="4" w:space="0"/>
            </w:tcBorders>
            <w:vAlign w:val="center"/>
          </w:tcPr>
          <w:p>
            <w:pPr>
              <w:spacing w:line="420" w:lineRule="exact"/>
              <w:rPr>
                <w:rFonts w:hAnsi="宋体"/>
                <w:color w:val="auto"/>
                <w:sz w:val="21"/>
                <w:szCs w:val="21"/>
                <w:highlight w:val="none"/>
              </w:rPr>
            </w:pPr>
            <w:r>
              <w:rPr>
                <w:rFonts w:hint="eastAsia" w:hAnsi="宋体"/>
                <w:color w:val="auto"/>
                <w:sz w:val="21"/>
                <w:szCs w:val="21"/>
                <w:highlight w:val="none"/>
              </w:rPr>
              <w:t>向中标/成交供应商收取</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674" w:hRule="atLeast"/>
          <w:jc w:val="center"/>
        </w:trPr>
        <w:tc>
          <w:tcPr>
            <w:tcW w:w="579" w:type="pct"/>
            <w:tcBorders>
              <w:top w:val="single" w:color="auto" w:sz="4" w:space="0"/>
              <w:left w:val="double" w:color="auto" w:sz="4" w:space="0"/>
              <w:bottom w:val="single" w:color="auto" w:sz="4" w:space="0"/>
              <w:right w:val="single" w:color="auto" w:sz="4"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18</w:t>
            </w:r>
          </w:p>
        </w:tc>
        <w:tc>
          <w:tcPr>
            <w:tcW w:w="1166" w:type="pct"/>
            <w:tcBorders>
              <w:top w:val="single" w:color="auto" w:sz="4" w:space="0"/>
              <w:left w:val="single" w:color="auto" w:sz="4" w:space="0"/>
              <w:bottom w:val="single" w:color="auto" w:sz="4" w:space="0"/>
              <w:right w:val="single" w:color="auto" w:sz="4"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其他</w:t>
            </w:r>
          </w:p>
        </w:tc>
        <w:tc>
          <w:tcPr>
            <w:tcW w:w="3253" w:type="pct"/>
            <w:tcBorders>
              <w:top w:val="single" w:color="auto" w:sz="4" w:space="0"/>
              <w:left w:val="single" w:color="auto" w:sz="4" w:space="0"/>
              <w:bottom w:val="single" w:color="auto" w:sz="4" w:space="0"/>
              <w:right w:val="double" w:color="auto" w:sz="4" w:space="0"/>
            </w:tcBorders>
            <w:vAlign w:val="center"/>
          </w:tcPr>
          <w:p>
            <w:pPr>
              <w:spacing w:line="420" w:lineRule="exact"/>
              <w:rPr>
                <w:rFonts w:hAnsi="宋体"/>
                <w:color w:val="auto"/>
                <w:sz w:val="21"/>
                <w:szCs w:val="21"/>
                <w:highlight w:val="none"/>
              </w:rPr>
            </w:pPr>
            <w:r>
              <w:rPr>
                <w:rFonts w:hint="eastAsia" w:hAnsi="宋体"/>
                <w:color w:val="auto"/>
                <w:sz w:val="21"/>
                <w:szCs w:val="21"/>
                <w:highlight w:val="none"/>
              </w:rPr>
              <w:t>/</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550" w:hRule="atLeast"/>
          <w:jc w:val="center"/>
        </w:trPr>
        <w:tc>
          <w:tcPr>
            <w:tcW w:w="579" w:type="pct"/>
            <w:tcBorders>
              <w:top w:val="single" w:color="auto" w:sz="4" w:space="0"/>
              <w:left w:val="double" w:color="auto" w:sz="4" w:space="0"/>
              <w:bottom w:val="single" w:color="auto" w:sz="4" w:space="0"/>
              <w:right w:val="single" w:color="auto" w:sz="4" w:space="0"/>
            </w:tcBorders>
            <w:vAlign w:val="center"/>
          </w:tcPr>
          <w:p>
            <w:pPr>
              <w:spacing w:line="420" w:lineRule="exact"/>
              <w:jc w:val="center"/>
              <w:rPr>
                <w:rFonts w:hAnsi="宋体"/>
                <w:bCs/>
                <w:color w:val="auto"/>
                <w:sz w:val="21"/>
                <w:szCs w:val="21"/>
                <w:highlight w:val="none"/>
              </w:rPr>
            </w:pPr>
            <w:r>
              <w:rPr>
                <w:rFonts w:hint="eastAsia" w:hAnsi="宋体"/>
                <w:bCs/>
                <w:color w:val="auto"/>
                <w:sz w:val="21"/>
                <w:szCs w:val="21"/>
                <w:highlight w:val="none"/>
              </w:rPr>
              <w:t>19</w:t>
            </w:r>
          </w:p>
        </w:tc>
        <w:tc>
          <w:tcPr>
            <w:tcW w:w="1166" w:type="pct"/>
            <w:tcBorders>
              <w:top w:val="single" w:color="auto" w:sz="4" w:space="0"/>
              <w:left w:val="single" w:color="auto" w:sz="4" w:space="0"/>
              <w:bottom w:val="single" w:color="auto" w:sz="4" w:space="0"/>
              <w:right w:val="single" w:color="auto" w:sz="4" w:space="0"/>
            </w:tcBorders>
            <w:vAlign w:val="center"/>
          </w:tcPr>
          <w:p>
            <w:pPr>
              <w:spacing w:line="420" w:lineRule="exact"/>
              <w:jc w:val="center"/>
              <w:rPr>
                <w:rFonts w:hAnsi="宋体"/>
                <w:bCs/>
                <w:color w:val="auto"/>
                <w:sz w:val="21"/>
                <w:szCs w:val="21"/>
                <w:highlight w:val="none"/>
              </w:rPr>
            </w:pPr>
            <w:r>
              <w:rPr>
                <w:rFonts w:hint="eastAsia" w:hAnsi="宋体"/>
                <w:bCs/>
                <w:color w:val="auto"/>
                <w:sz w:val="21"/>
                <w:szCs w:val="21"/>
                <w:highlight w:val="none"/>
              </w:rPr>
              <w:t>专门面向中小企业采购</w:t>
            </w:r>
          </w:p>
        </w:tc>
        <w:tc>
          <w:tcPr>
            <w:tcW w:w="3253" w:type="pct"/>
            <w:tcBorders>
              <w:top w:val="single" w:color="auto" w:sz="4" w:space="0"/>
              <w:left w:val="single" w:color="auto" w:sz="4" w:space="0"/>
              <w:bottom w:val="single" w:color="auto" w:sz="4" w:space="0"/>
              <w:right w:val="double" w:color="auto" w:sz="4" w:space="0"/>
            </w:tcBorders>
            <w:vAlign w:val="center"/>
          </w:tcPr>
          <w:p>
            <w:pPr>
              <w:spacing w:line="420" w:lineRule="exact"/>
              <w:rPr>
                <w:rFonts w:hAnsi="宋体"/>
                <w:bCs/>
                <w:color w:val="auto"/>
                <w:sz w:val="21"/>
                <w:szCs w:val="21"/>
                <w:highlight w:val="none"/>
              </w:rPr>
            </w:pPr>
            <w:r>
              <w:rPr>
                <w:rFonts w:hint="eastAsia" w:hAnsi="宋体"/>
                <w:bCs/>
                <w:color w:val="auto"/>
                <w:sz w:val="21"/>
                <w:szCs w:val="21"/>
                <w:highlight w:val="none"/>
              </w:rPr>
              <w:t>采购包</w:t>
            </w:r>
            <w:r>
              <w:rPr>
                <w:rFonts w:hAnsi="宋体"/>
                <w:bCs/>
                <w:color w:val="auto"/>
                <w:sz w:val="21"/>
                <w:szCs w:val="21"/>
                <w:highlight w:val="none"/>
              </w:rPr>
              <w:t>1</w:t>
            </w:r>
            <w:r>
              <w:rPr>
                <w:rFonts w:hint="eastAsia" w:hAnsi="宋体"/>
                <w:bCs/>
                <w:color w:val="auto"/>
                <w:sz w:val="21"/>
                <w:szCs w:val="21"/>
                <w:highlight w:val="none"/>
              </w:rPr>
              <w:t>：</w:t>
            </w:r>
            <w:r>
              <w:rPr>
                <w:rFonts w:hint="eastAsia"/>
                <w:color w:val="auto"/>
                <w:sz w:val="21"/>
                <w:szCs w:val="21"/>
                <w:highlight w:val="none"/>
              </w:rPr>
              <w:t>本项目属于非专门面向中小企业。</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550" w:hRule="atLeast"/>
          <w:jc w:val="center"/>
        </w:trPr>
        <w:tc>
          <w:tcPr>
            <w:tcW w:w="579" w:type="pct"/>
            <w:tcBorders>
              <w:top w:val="single" w:color="auto" w:sz="4" w:space="0"/>
              <w:left w:val="double" w:color="auto" w:sz="4" w:space="0"/>
              <w:bottom w:val="single" w:color="auto" w:sz="4" w:space="0"/>
              <w:right w:val="single" w:color="auto" w:sz="4" w:space="0"/>
            </w:tcBorders>
            <w:vAlign w:val="center"/>
          </w:tcPr>
          <w:p>
            <w:pPr>
              <w:spacing w:line="420" w:lineRule="exact"/>
              <w:jc w:val="center"/>
              <w:rPr>
                <w:rFonts w:hAnsi="宋体"/>
                <w:bCs/>
                <w:color w:val="auto"/>
                <w:sz w:val="21"/>
                <w:szCs w:val="21"/>
                <w:highlight w:val="none"/>
              </w:rPr>
            </w:pPr>
            <w:r>
              <w:rPr>
                <w:rFonts w:hint="eastAsia" w:hAnsi="宋体"/>
                <w:bCs/>
                <w:color w:val="auto"/>
                <w:sz w:val="21"/>
                <w:szCs w:val="21"/>
                <w:highlight w:val="none"/>
              </w:rPr>
              <w:t>20</w:t>
            </w:r>
          </w:p>
        </w:tc>
        <w:tc>
          <w:tcPr>
            <w:tcW w:w="1166" w:type="pct"/>
            <w:tcBorders>
              <w:top w:val="single" w:color="auto" w:sz="4" w:space="0"/>
              <w:left w:val="single" w:color="auto" w:sz="4" w:space="0"/>
              <w:bottom w:val="single" w:color="auto" w:sz="4" w:space="0"/>
              <w:right w:val="single" w:color="auto" w:sz="4" w:space="0"/>
            </w:tcBorders>
            <w:vAlign w:val="center"/>
          </w:tcPr>
          <w:p>
            <w:pPr>
              <w:spacing w:line="420" w:lineRule="exact"/>
              <w:jc w:val="center"/>
              <w:rPr>
                <w:rFonts w:hAnsi="宋体"/>
                <w:bCs/>
                <w:color w:val="auto"/>
                <w:sz w:val="21"/>
                <w:szCs w:val="21"/>
                <w:highlight w:val="none"/>
              </w:rPr>
            </w:pPr>
            <w:r>
              <w:rPr>
                <w:rFonts w:hint="eastAsia" w:hAnsi="宋体"/>
                <w:bCs/>
                <w:color w:val="auto"/>
                <w:sz w:val="21"/>
                <w:szCs w:val="21"/>
                <w:highlight w:val="none"/>
              </w:rPr>
              <w:t>采购信息公告媒体</w:t>
            </w:r>
          </w:p>
        </w:tc>
        <w:tc>
          <w:tcPr>
            <w:tcW w:w="3253" w:type="pct"/>
            <w:tcBorders>
              <w:top w:val="single" w:color="auto" w:sz="4" w:space="0"/>
              <w:left w:val="single" w:color="auto" w:sz="4" w:space="0"/>
              <w:bottom w:val="single" w:color="auto" w:sz="4" w:space="0"/>
              <w:right w:val="double" w:color="auto" w:sz="4" w:space="0"/>
            </w:tcBorders>
            <w:vAlign w:val="center"/>
          </w:tcPr>
          <w:p>
            <w:pPr>
              <w:spacing w:line="420" w:lineRule="exact"/>
              <w:rPr>
                <w:rFonts w:hAnsi="宋体"/>
                <w:bCs/>
                <w:color w:val="auto"/>
                <w:sz w:val="21"/>
                <w:szCs w:val="21"/>
                <w:highlight w:val="none"/>
              </w:rPr>
            </w:pPr>
            <w:r>
              <w:rPr>
                <w:rFonts w:hint="eastAsia" w:hAnsi="宋体" w:cs="宋体"/>
                <w:color w:val="auto"/>
                <w:sz w:val="21"/>
                <w:szCs w:val="21"/>
                <w:highlight w:val="none"/>
              </w:rPr>
              <w:t>采购与招标网(元博网)（https://www.chinabidding.cn/），广东中科招标有限公司官网（http://www.zkzbgd.com/）</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550" w:hRule="atLeast"/>
          <w:jc w:val="center"/>
        </w:trPr>
        <w:tc>
          <w:tcPr>
            <w:tcW w:w="579" w:type="pct"/>
            <w:tcBorders>
              <w:top w:val="single" w:color="auto" w:sz="4" w:space="0"/>
              <w:left w:val="double" w:color="auto" w:sz="4" w:space="0"/>
              <w:bottom w:val="single" w:color="auto" w:sz="4" w:space="0"/>
              <w:right w:val="single" w:color="auto" w:sz="4" w:space="0"/>
            </w:tcBorders>
            <w:vAlign w:val="center"/>
          </w:tcPr>
          <w:p>
            <w:pPr>
              <w:spacing w:line="420" w:lineRule="exact"/>
              <w:jc w:val="center"/>
              <w:rPr>
                <w:rFonts w:hAnsi="宋体"/>
                <w:bCs/>
                <w:color w:val="auto"/>
                <w:sz w:val="21"/>
                <w:szCs w:val="21"/>
                <w:highlight w:val="none"/>
              </w:rPr>
            </w:pPr>
            <w:r>
              <w:rPr>
                <w:rFonts w:hint="eastAsia" w:hAnsi="宋体"/>
                <w:bCs/>
                <w:color w:val="auto"/>
                <w:sz w:val="21"/>
                <w:szCs w:val="21"/>
                <w:highlight w:val="none"/>
              </w:rPr>
              <w:t>21</w:t>
            </w:r>
          </w:p>
        </w:tc>
        <w:tc>
          <w:tcPr>
            <w:tcW w:w="1166" w:type="pct"/>
            <w:tcBorders>
              <w:top w:val="single" w:color="auto" w:sz="4" w:space="0"/>
              <w:left w:val="single" w:color="auto" w:sz="4" w:space="0"/>
              <w:bottom w:val="single" w:color="auto" w:sz="4" w:space="0"/>
              <w:right w:val="single" w:color="auto" w:sz="4" w:space="0"/>
            </w:tcBorders>
            <w:vAlign w:val="center"/>
          </w:tcPr>
          <w:p>
            <w:pPr>
              <w:spacing w:line="420" w:lineRule="exact"/>
              <w:jc w:val="center"/>
              <w:rPr>
                <w:rFonts w:hAnsi="宋体"/>
                <w:bCs/>
                <w:color w:val="auto"/>
                <w:sz w:val="21"/>
                <w:szCs w:val="21"/>
                <w:highlight w:val="none"/>
              </w:rPr>
            </w:pPr>
            <w:r>
              <w:rPr>
                <w:rFonts w:hint="eastAsia" w:hAnsi="宋体"/>
                <w:bCs/>
                <w:color w:val="auto"/>
                <w:sz w:val="21"/>
                <w:szCs w:val="21"/>
                <w:highlight w:val="none"/>
              </w:rPr>
              <w:t>联合体投标</w:t>
            </w:r>
          </w:p>
        </w:tc>
        <w:tc>
          <w:tcPr>
            <w:tcW w:w="3253" w:type="pct"/>
            <w:tcBorders>
              <w:top w:val="single" w:color="auto" w:sz="4" w:space="0"/>
              <w:left w:val="single" w:color="auto" w:sz="4" w:space="0"/>
              <w:bottom w:val="single" w:color="auto" w:sz="4" w:space="0"/>
              <w:right w:val="double" w:color="auto" w:sz="4" w:space="0"/>
            </w:tcBorders>
            <w:vAlign w:val="center"/>
          </w:tcPr>
          <w:p>
            <w:pPr>
              <w:spacing w:line="420" w:lineRule="exact"/>
              <w:rPr>
                <w:rFonts w:hAnsi="宋体"/>
                <w:bCs/>
                <w:color w:val="auto"/>
                <w:sz w:val="21"/>
                <w:szCs w:val="21"/>
                <w:highlight w:val="none"/>
              </w:rPr>
            </w:pPr>
            <w:r>
              <w:rPr>
                <w:rFonts w:hint="eastAsia" w:hAnsi="宋体"/>
                <w:bCs/>
                <w:color w:val="auto"/>
                <w:sz w:val="21"/>
                <w:szCs w:val="21"/>
                <w:highlight w:val="none"/>
              </w:rPr>
              <w:t>本项目</w:t>
            </w:r>
            <w:r>
              <w:rPr>
                <w:rFonts w:hint="eastAsia" w:hAnsi="宋体"/>
                <w:b/>
                <w:bCs/>
                <w:color w:val="auto"/>
                <w:sz w:val="21"/>
                <w:szCs w:val="21"/>
                <w:highlight w:val="none"/>
                <w:u w:val="single"/>
              </w:rPr>
              <w:t>接受</w:t>
            </w:r>
            <w:r>
              <w:rPr>
                <w:rFonts w:hint="eastAsia" w:hAnsi="宋体"/>
                <w:bCs/>
                <w:color w:val="auto"/>
                <w:sz w:val="21"/>
                <w:szCs w:val="21"/>
                <w:highlight w:val="none"/>
              </w:rPr>
              <w:t>联合体投标。</w:t>
            </w:r>
          </w:p>
        </w:tc>
      </w:tr>
    </w:tbl>
    <w:p>
      <w:pPr>
        <w:pStyle w:val="3"/>
        <w:numPr>
          <w:ilvl w:val="0"/>
          <w:numId w:val="19"/>
        </w:numPr>
        <w:spacing w:line="360" w:lineRule="auto"/>
        <w:rPr>
          <w:rFonts w:hAnsi="宋体"/>
          <w:b/>
          <w:bCs/>
          <w:color w:val="auto"/>
          <w:kern w:val="44"/>
          <w:highlight w:val="none"/>
          <w:lang w:val="zh-CN"/>
        </w:rPr>
      </w:pPr>
      <w:bookmarkStart w:id="61" w:name="_Toc396137232"/>
      <w:bookmarkStart w:id="62" w:name="_Toc6874"/>
      <w:r>
        <w:rPr>
          <w:rFonts w:hint="eastAsia" w:hAnsi="宋体"/>
          <w:b/>
          <w:bCs/>
          <w:color w:val="auto"/>
          <w:kern w:val="44"/>
          <w:highlight w:val="none"/>
          <w:lang w:val="zh-CN"/>
        </w:rPr>
        <w:t>供应商须知</w:t>
      </w:r>
      <w:bookmarkEnd w:id="61"/>
      <w:bookmarkEnd w:id="62"/>
    </w:p>
    <w:p>
      <w:pPr>
        <w:pStyle w:val="4"/>
        <w:spacing w:line="360" w:lineRule="auto"/>
        <w:rPr>
          <w:rFonts w:hAnsi="宋体"/>
          <w:b/>
          <w:bCs/>
          <w:color w:val="auto"/>
          <w:kern w:val="44"/>
          <w:sz w:val="21"/>
          <w:szCs w:val="21"/>
          <w:highlight w:val="none"/>
          <w:lang w:val="zh-CN"/>
        </w:rPr>
      </w:pPr>
      <w:bookmarkStart w:id="63" w:name="_Toc396137233"/>
      <w:bookmarkStart w:id="64" w:name="_Toc495"/>
      <w:r>
        <w:rPr>
          <w:rFonts w:hint="eastAsia" w:hAnsi="宋体"/>
          <w:b/>
          <w:bCs/>
          <w:color w:val="auto"/>
          <w:kern w:val="44"/>
          <w:sz w:val="21"/>
          <w:szCs w:val="21"/>
          <w:highlight w:val="none"/>
          <w:lang w:val="zh-CN"/>
        </w:rPr>
        <w:t>（一）总则</w:t>
      </w:r>
      <w:bookmarkEnd w:id="63"/>
      <w:bookmarkEnd w:id="64"/>
    </w:p>
    <w:p>
      <w:pPr>
        <w:tabs>
          <w:tab w:val="left" w:pos="567"/>
        </w:tabs>
        <w:spacing w:line="360" w:lineRule="auto"/>
        <w:ind w:left="567" w:hanging="567"/>
        <w:jc w:val="both"/>
        <w:rPr>
          <w:rFonts w:hAnsi="宋体"/>
          <w:b/>
          <w:color w:val="auto"/>
          <w:kern w:val="2"/>
          <w:sz w:val="21"/>
          <w:szCs w:val="21"/>
          <w:highlight w:val="none"/>
          <w:lang w:val="zh-CN"/>
        </w:rPr>
      </w:pPr>
      <w:r>
        <w:rPr>
          <w:rFonts w:hAnsi="宋体"/>
          <w:b/>
          <w:color w:val="auto"/>
          <w:kern w:val="2"/>
          <w:sz w:val="21"/>
          <w:szCs w:val="21"/>
          <w:highlight w:val="none"/>
          <w:lang w:val="zh-CN"/>
        </w:rPr>
        <w:t>1</w:t>
      </w:r>
      <w:r>
        <w:rPr>
          <w:rFonts w:hint="eastAsia" w:hAnsi="宋体"/>
          <w:b/>
          <w:color w:val="auto"/>
          <w:kern w:val="2"/>
          <w:sz w:val="21"/>
          <w:szCs w:val="21"/>
          <w:highlight w:val="none"/>
          <w:lang w:val="zh-CN"/>
        </w:rPr>
        <w:t xml:space="preserve">    资金来源：</w:t>
      </w:r>
      <w:r>
        <w:rPr>
          <w:rFonts w:hint="eastAsia" w:hAnsi="宋体"/>
          <w:color w:val="auto"/>
          <w:kern w:val="2"/>
          <w:sz w:val="21"/>
          <w:szCs w:val="21"/>
          <w:highlight w:val="none"/>
          <w:lang w:val="zh-CN"/>
        </w:rPr>
        <w:t>详见《供应商须知前附表》。</w:t>
      </w:r>
    </w:p>
    <w:p>
      <w:pPr>
        <w:tabs>
          <w:tab w:val="left" w:pos="567"/>
        </w:tabs>
        <w:spacing w:line="360" w:lineRule="auto"/>
        <w:ind w:left="567" w:hanging="567"/>
        <w:jc w:val="both"/>
        <w:rPr>
          <w:rFonts w:hAnsi="宋体"/>
          <w:color w:val="auto"/>
          <w:kern w:val="2"/>
          <w:sz w:val="21"/>
          <w:szCs w:val="21"/>
          <w:highlight w:val="none"/>
          <w:lang w:val="zh-CN"/>
        </w:rPr>
      </w:pPr>
      <w:r>
        <w:rPr>
          <w:rFonts w:hint="eastAsia" w:hAnsi="宋体"/>
          <w:b/>
          <w:color w:val="auto"/>
          <w:kern w:val="2"/>
          <w:sz w:val="21"/>
          <w:szCs w:val="21"/>
          <w:highlight w:val="none"/>
          <w:lang w:val="zh-CN"/>
        </w:rPr>
        <w:t xml:space="preserve">2    </w:t>
      </w:r>
      <w:r>
        <w:rPr>
          <w:rFonts w:hAnsi="宋体"/>
          <w:b/>
          <w:color w:val="auto"/>
          <w:kern w:val="2"/>
          <w:sz w:val="21"/>
          <w:szCs w:val="21"/>
          <w:highlight w:val="none"/>
          <w:lang w:val="zh-CN"/>
        </w:rPr>
        <w:t>适用范围</w:t>
      </w:r>
      <w:r>
        <w:rPr>
          <w:rFonts w:hint="eastAsia" w:hAnsi="宋体"/>
          <w:b/>
          <w:color w:val="auto"/>
          <w:kern w:val="2"/>
          <w:sz w:val="21"/>
          <w:szCs w:val="21"/>
          <w:highlight w:val="none"/>
          <w:lang w:val="zh-CN"/>
        </w:rPr>
        <w:t>：</w:t>
      </w:r>
      <w:r>
        <w:rPr>
          <w:rFonts w:hint="eastAsia" w:hAnsi="宋体"/>
          <w:color w:val="auto"/>
          <w:kern w:val="2"/>
          <w:sz w:val="21"/>
          <w:szCs w:val="21"/>
          <w:highlight w:val="none"/>
          <w:lang w:val="zh-CN"/>
        </w:rPr>
        <w:t>本磋商文件仅适用于</w:t>
      </w:r>
      <w:r>
        <w:rPr>
          <w:rFonts w:hint="eastAsia" w:hAnsi="宋体"/>
          <w:color w:val="auto"/>
          <w:sz w:val="21"/>
          <w:szCs w:val="21"/>
          <w:highlight w:val="none"/>
        </w:rPr>
        <w:t>霄边社区典型村“百千万工程”建设提升规划编制</w:t>
      </w:r>
      <w:r>
        <w:rPr>
          <w:rFonts w:hint="eastAsia" w:hAnsi="宋体"/>
          <w:color w:val="auto"/>
          <w:kern w:val="2"/>
          <w:sz w:val="21"/>
          <w:szCs w:val="21"/>
          <w:highlight w:val="none"/>
          <w:lang w:val="zh-CN"/>
        </w:rPr>
        <w:t>。</w:t>
      </w:r>
    </w:p>
    <w:p>
      <w:pPr>
        <w:tabs>
          <w:tab w:val="left" w:pos="567"/>
        </w:tabs>
        <w:spacing w:line="360" w:lineRule="auto"/>
        <w:ind w:left="567" w:hanging="567"/>
        <w:jc w:val="both"/>
        <w:rPr>
          <w:rFonts w:hAnsi="宋体"/>
          <w:color w:val="auto"/>
          <w:kern w:val="2"/>
          <w:sz w:val="21"/>
          <w:szCs w:val="21"/>
          <w:highlight w:val="none"/>
          <w:lang w:val="zh-CN"/>
        </w:rPr>
      </w:pPr>
      <w:r>
        <w:rPr>
          <w:rFonts w:hint="eastAsia" w:hAnsi="宋体"/>
          <w:b/>
          <w:color w:val="auto"/>
          <w:kern w:val="2"/>
          <w:sz w:val="21"/>
          <w:szCs w:val="21"/>
          <w:highlight w:val="none"/>
          <w:lang w:val="zh-CN"/>
        </w:rPr>
        <w:t>3    适用法规：</w:t>
      </w:r>
      <w:r>
        <w:rPr>
          <w:rFonts w:hint="eastAsia" w:hAnsi="宋体"/>
          <w:color w:val="auto"/>
          <w:kern w:val="2"/>
          <w:sz w:val="21"/>
          <w:szCs w:val="21"/>
          <w:highlight w:val="none"/>
          <w:lang w:val="zh-CN"/>
        </w:rPr>
        <w:t>本磋商文件</w:t>
      </w:r>
      <w:r>
        <w:rPr>
          <w:rFonts w:hint="eastAsia" w:hAnsi="宋体"/>
          <w:color w:val="auto"/>
          <w:kern w:val="2"/>
          <w:sz w:val="21"/>
          <w:szCs w:val="21"/>
          <w:highlight w:val="none"/>
        </w:rPr>
        <w:t>参照</w:t>
      </w:r>
      <w:r>
        <w:rPr>
          <w:rFonts w:hint="eastAsia" w:hAnsi="宋体"/>
          <w:color w:val="auto"/>
          <w:kern w:val="2"/>
          <w:sz w:val="21"/>
          <w:szCs w:val="21"/>
          <w:highlight w:val="none"/>
          <w:lang w:val="zh-CN"/>
        </w:rPr>
        <w:t>《中华人民共和国政府采购法》、《中华人民共和国政府采购法实施条例》（国务院令第658号）和《政府采购竞争性磋商采购方式管理暂行办法》（财库〔2014〕214号）及国家和广东省有关法律、法规、规章制度编制。供应商应仔细阅读本项目信息公告及磋商文件的所有内容（包括变更、补充、澄清以及修改等，且均为磋商文件的组成部分），按照磋商文件要求以及格式编制响应文件，并保证其真实性，否则一切后果自负。本次竞争性磋商项目，是以磋商公告的方式邀请非特定的供应商参加磋商。</w:t>
      </w:r>
    </w:p>
    <w:p>
      <w:pPr>
        <w:tabs>
          <w:tab w:val="left" w:pos="567"/>
        </w:tabs>
        <w:spacing w:line="360" w:lineRule="auto"/>
        <w:ind w:left="567" w:hanging="567"/>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4</w:t>
      </w:r>
      <w:r>
        <w:rPr>
          <w:rFonts w:hAnsi="宋体"/>
          <w:b/>
          <w:color w:val="auto"/>
          <w:kern w:val="2"/>
          <w:sz w:val="21"/>
          <w:szCs w:val="21"/>
          <w:highlight w:val="none"/>
          <w:lang w:val="zh-CN"/>
        </w:rPr>
        <w:tab/>
      </w:r>
      <w:r>
        <w:rPr>
          <w:rFonts w:hint="eastAsia" w:hAnsi="宋体"/>
          <w:b/>
          <w:color w:val="auto"/>
          <w:kern w:val="2"/>
          <w:sz w:val="21"/>
          <w:szCs w:val="21"/>
          <w:highlight w:val="none"/>
          <w:lang w:val="zh-CN"/>
        </w:rPr>
        <w:t>供应商的资格条件</w:t>
      </w:r>
    </w:p>
    <w:p>
      <w:pPr>
        <w:tabs>
          <w:tab w:val="left" w:pos="567"/>
        </w:tabs>
        <w:spacing w:line="360" w:lineRule="auto"/>
        <w:ind w:left="567"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4</w:t>
      </w:r>
      <w:r>
        <w:rPr>
          <w:rFonts w:hAnsi="宋体"/>
          <w:color w:val="auto"/>
          <w:kern w:val="2"/>
          <w:sz w:val="21"/>
          <w:szCs w:val="21"/>
          <w:highlight w:val="none"/>
          <w:lang w:val="zh-CN"/>
        </w:rPr>
        <w:t>.1</w:t>
      </w:r>
      <w:r>
        <w:rPr>
          <w:rFonts w:hAnsi="宋体"/>
          <w:color w:val="auto"/>
          <w:kern w:val="2"/>
          <w:sz w:val="21"/>
          <w:szCs w:val="21"/>
          <w:highlight w:val="none"/>
          <w:lang w:val="zh-CN"/>
        </w:rPr>
        <w:tab/>
      </w:r>
      <w:r>
        <w:rPr>
          <w:rFonts w:hint="eastAsia" w:hAnsi="宋体"/>
          <w:color w:val="auto"/>
          <w:kern w:val="2"/>
          <w:sz w:val="21"/>
          <w:szCs w:val="21"/>
          <w:highlight w:val="none"/>
          <w:lang w:val="zh-CN"/>
        </w:rPr>
        <w:t>供应商资格条件详见</w:t>
      </w:r>
      <w:r>
        <w:rPr>
          <w:rFonts w:hint="eastAsia" w:hAnsi="宋体"/>
          <w:color w:val="auto"/>
          <w:sz w:val="21"/>
          <w:szCs w:val="21"/>
          <w:highlight w:val="none"/>
        </w:rPr>
        <w:t>《供应商须知前附表》</w:t>
      </w:r>
      <w:r>
        <w:rPr>
          <w:rFonts w:hint="eastAsia" w:hAnsi="宋体"/>
          <w:color w:val="auto"/>
          <w:kern w:val="2"/>
          <w:sz w:val="21"/>
          <w:szCs w:val="21"/>
          <w:highlight w:val="none"/>
          <w:lang w:val="zh-CN"/>
        </w:rPr>
        <w:t>。</w:t>
      </w:r>
    </w:p>
    <w:p>
      <w:pPr>
        <w:tabs>
          <w:tab w:val="left" w:pos="567"/>
        </w:tabs>
        <w:spacing w:line="360" w:lineRule="auto"/>
        <w:ind w:left="567" w:hanging="567"/>
        <w:jc w:val="both"/>
        <w:rPr>
          <w:rFonts w:hAnsi="宋体"/>
          <w:color w:val="auto"/>
          <w:kern w:val="2"/>
          <w:sz w:val="21"/>
          <w:szCs w:val="21"/>
          <w:highlight w:val="none"/>
          <w:lang w:val="zh-CN"/>
        </w:rPr>
      </w:pPr>
      <w:r>
        <w:rPr>
          <w:rFonts w:hint="eastAsia" w:hAnsi="宋体"/>
          <w:b/>
          <w:color w:val="auto"/>
          <w:kern w:val="2"/>
          <w:sz w:val="21"/>
          <w:szCs w:val="21"/>
          <w:highlight w:val="none"/>
          <w:lang w:val="zh-CN"/>
        </w:rPr>
        <w:t>5</w:t>
      </w:r>
      <w:r>
        <w:rPr>
          <w:rFonts w:hAnsi="宋体"/>
          <w:b/>
          <w:color w:val="auto"/>
          <w:kern w:val="2"/>
          <w:sz w:val="21"/>
          <w:szCs w:val="21"/>
          <w:highlight w:val="none"/>
          <w:lang w:val="zh-CN"/>
        </w:rPr>
        <w:tab/>
      </w:r>
      <w:r>
        <w:rPr>
          <w:rFonts w:hint="eastAsia" w:hAnsi="宋体"/>
          <w:b/>
          <w:color w:val="auto"/>
          <w:kern w:val="2"/>
          <w:sz w:val="21"/>
          <w:szCs w:val="21"/>
          <w:highlight w:val="none"/>
          <w:lang w:val="zh-CN"/>
        </w:rPr>
        <w:t>联合体投标</w:t>
      </w:r>
      <w:r>
        <w:rPr>
          <w:rFonts w:hint="eastAsia" w:hAnsi="宋体"/>
          <w:color w:val="auto"/>
          <w:kern w:val="2"/>
          <w:sz w:val="21"/>
          <w:szCs w:val="21"/>
          <w:highlight w:val="none"/>
          <w:lang w:val="zh-CN"/>
        </w:rPr>
        <w:t>（按</w:t>
      </w:r>
      <w:r>
        <w:rPr>
          <w:rFonts w:hint="eastAsia" w:hAnsi="宋体"/>
          <w:color w:val="auto"/>
          <w:sz w:val="21"/>
          <w:szCs w:val="21"/>
          <w:highlight w:val="none"/>
        </w:rPr>
        <w:t>《供应商须知前附表》的规定，仅</w:t>
      </w:r>
      <w:r>
        <w:rPr>
          <w:rFonts w:hint="eastAsia" w:hAnsi="宋体"/>
          <w:color w:val="auto"/>
          <w:kern w:val="2"/>
          <w:sz w:val="21"/>
          <w:szCs w:val="21"/>
          <w:highlight w:val="none"/>
          <w:lang w:val="zh-CN"/>
        </w:rPr>
        <w:t>适用于允许联合体投标的项目）</w:t>
      </w:r>
    </w:p>
    <w:p>
      <w:pPr>
        <w:tabs>
          <w:tab w:val="left" w:pos="567"/>
        </w:tabs>
        <w:spacing w:line="360" w:lineRule="auto"/>
        <w:ind w:left="567"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5</w:t>
      </w:r>
      <w:r>
        <w:rPr>
          <w:rFonts w:hAnsi="宋体"/>
          <w:color w:val="auto"/>
          <w:kern w:val="2"/>
          <w:sz w:val="21"/>
          <w:szCs w:val="21"/>
          <w:highlight w:val="none"/>
          <w:lang w:val="zh-CN"/>
        </w:rPr>
        <w:t>.</w:t>
      </w:r>
      <w:r>
        <w:rPr>
          <w:rFonts w:hint="eastAsia" w:hAnsi="宋体"/>
          <w:color w:val="auto"/>
          <w:kern w:val="2"/>
          <w:sz w:val="21"/>
          <w:szCs w:val="21"/>
          <w:highlight w:val="none"/>
          <w:lang w:val="zh-CN"/>
        </w:rPr>
        <w:t>1</w:t>
      </w:r>
      <w:r>
        <w:rPr>
          <w:rFonts w:hAnsi="宋体"/>
          <w:color w:val="auto"/>
          <w:kern w:val="2"/>
          <w:sz w:val="21"/>
          <w:szCs w:val="21"/>
          <w:highlight w:val="none"/>
          <w:lang w:val="zh-CN"/>
        </w:rPr>
        <w:tab/>
      </w:r>
      <w:r>
        <w:rPr>
          <w:rFonts w:hint="eastAsia" w:hAnsi="宋体"/>
          <w:color w:val="auto"/>
          <w:kern w:val="2"/>
          <w:sz w:val="21"/>
          <w:szCs w:val="21"/>
          <w:highlight w:val="none"/>
          <w:lang w:val="zh-CN"/>
        </w:rPr>
        <w:t>联合体投标的供应商应当满足下列条件：</w:t>
      </w:r>
    </w:p>
    <w:p>
      <w:pPr>
        <w:numPr>
          <w:ilvl w:val="0"/>
          <w:numId w:val="20"/>
        </w:numPr>
        <w:tabs>
          <w:tab w:val="left" w:pos="709"/>
          <w:tab w:val="clear" w:pos="840"/>
        </w:tabs>
        <w:spacing w:line="360" w:lineRule="auto"/>
        <w:ind w:left="1133" w:leftChars="236" w:hanging="567" w:hangingChars="270"/>
        <w:jc w:val="both"/>
        <w:rPr>
          <w:rFonts w:hAnsi="宋体"/>
          <w:color w:val="auto"/>
          <w:kern w:val="2"/>
          <w:sz w:val="21"/>
          <w:szCs w:val="21"/>
          <w:highlight w:val="none"/>
          <w:lang w:val="zh-CN"/>
        </w:rPr>
      </w:pPr>
      <w:r>
        <w:rPr>
          <w:rFonts w:hint="eastAsia" w:hAnsi="宋体"/>
          <w:color w:val="auto"/>
          <w:kern w:val="2"/>
          <w:sz w:val="21"/>
          <w:szCs w:val="21"/>
          <w:highlight w:val="none"/>
        </w:rPr>
        <w:t>联合体各方均应当满足《</w:t>
      </w:r>
      <w:r>
        <w:rPr>
          <w:rFonts w:hint="eastAsia" w:hAnsi="宋体"/>
          <w:color w:val="auto"/>
          <w:sz w:val="21"/>
          <w:szCs w:val="21"/>
          <w:highlight w:val="none"/>
        </w:rPr>
        <w:t>中华人民共和国</w:t>
      </w:r>
      <w:r>
        <w:rPr>
          <w:rFonts w:hint="eastAsia" w:hAnsi="宋体"/>
          <w:color w:val="auto"/>
          <w:kern w:val="2"/>
          <w:sz w:val="21"/>
          <w:szCs w:val="21"/>
          <w:highlight w:val="none"/>
        </w:rPr>
        <w:t>政府采购法》第二十二条规定的条件，并在响应文件中提供联合体各方的相关证明材料。</w:t>
      </w:r>
    </w:p>
    <w:p>
      <w:pPr>
        <w:numPr>
          <w:ilvl w:val="0"/>
          <w:numId w:val="20"/>
        </w:numPr>
        <w:tabs>
          <w:tab w:val="left" w:pos="709"/>
          <w:tab w:val="clear" w:pos="840"/>
        </w:tabs>
        <w:spacing w:line="360" w:lineRule="auto"/>
        <w:ind w:left="1133" w:leftChars="236" w:hanging="567" w:hangingChars="270"/>
        <w:jc w:val="both"/>
        <w:rPr>
          <w:rFonts w:hAnsi="宋体"/>
          <w:color w:val="auto"/>
          <w:kern w:val="2"/>
          <w:sz w:val="21"/>
          <w:szCs w:val="21"/>
          <w:highlight w:val="none"/>
          <w:lang w:val="zh-CN"/>
        </w:rPr>
      </w:pPr>
      <w:r>
        <w:rPr>
          <w:rFonts w:hint="eastAsia" w:hAnsi="宋体"/>
          <w:color w:val="auto"/>
          <w:kern w:val="2"/>
          <w:sz w:val="21"/>
          <w:szCs w:val="21"/>
          <w:highlight w:val="none"/>
        </w:rPr>
        <w:t>联合体各方之间应签订共同投标协议书并在响应文件中提交，明确约定联合体各方承担的工作和相应的责任。联合体各方签订共同投标协议书后，不得再以自己名义单独在同一项目（采购包）中投标，也不得组成新的联合体参加同一项目（采购包）投标，若违反规定则其参与的所有投标将视为无效投标。</w:t>
      </w:r>
    </w:p>
    <w:p>
      <w:pPr>
        <w:numPr>
          <w:ilvl w:val="0"/>
          <w:numId w:val="20"/>
        </w:numPr>
        <w:tabs>
          <w:tab w:val="left" w:pos="709"/>
          <w:tab w:val="clear" w:pos="840"/>
        </w:tabs>
        <w:spacing w:line="360" w:lineRule="auto"/>
        <w:ind w:left="1133" w:leftChars="236" w:hanging="567" w:hangingChars="270"/>
        <w:jc w:val="both"/>
        <w:rPr>
          <w:rFonts w:hAnsi="宋体"/>
          <w:color w:val="auto"/>
          <w:kern w:val="2"/>
          <w:sz w:val="21"/>
          <w:szCs w:val="21"/>
          <w:highlight w:val="none"/>
          <w:lang w:val="zh-CN"/>
        </w:rPr>
      </w:pPr>
      <w:r>
        <w:rPr>
          <w:rFonts w:hint="eastAsia" w:hAnsi="宋体"/>
          <w:color w:val="auto"/>
          <w:kern w:val="2"/>
          <w:sz w:val="21"/>
          <w:szCs w:val="21"/>
          <w:highlight w:val="none"/>
        </w:rPr>
        <w:t>联合体应以联合协议中确定的牵头方名义进行项目投标，联合体所有成员单位的全称并使用成员单位的进行联投确认，联合体名称需与共同投标协议书签署方一致。对于需交投标保证金的，以牵头方名义缴纳。</w:t>
      </w:r>
    </w:p>
    <w:p>
      <w:pPr>
        <w:numPr>
          <w:ilvl w:val="0"/>
          <w:numId w:val="20"/>
        </w:numPr>
        <w:tabs>
          <w:tab w:val="left" w:pos="709"/>
          <w:tab w:val="clear" w:pos="840"/>
        </w:tabs>
        <w:spacing w:line="360" w:lineRule="auto"/>
        <w:ind w:left="1133" w:leftChars="236" w:hanging="567" w:hangingChars="270"/>
        <w:jc w:val="both"/>
        <w:rPr>
          <w:rFonts w:hAnsi="宋体"/>
          <w:color w:val="auto"/>
          <w:kern w:val="2"/>
          <w:sz w:val="21"/>
          <w:szCs w:val="21"/>
          <w:highlight w:val="none"/>
          <w:lang w:val="zh-CN"/>
        </w:rPr>
      </w:pPr>
      <w:r>
        <w:rPr>
          <w:rFonts w:hint="eastAsia" w:hAnsi="宋体"/>
          <w:color w:val="auto"/>
          <w:kern w:val="2"/>
          <w:sz w:val="21"/>
          <w:szCs w:val="21"/>
          <w:highlight w:val="none"/>
        </w:rPr>
        <w:t>联合体成员存在不良信用记录的，视同联合体存在不良信用记录。</w:t>
      </w:r>
    </w:p>
    <w:p>
      <w:pPr>
        <w:numPr>
          <w:ilvl w:val="0"/>
          <w:numId w:val="20"/>
        </w:numPr>
        <w:tabs>
          <w:tab w:val="left" w:pos="709"/>
          <w:tab w:val="clear" w:pos="840"/>
        </w:tabs>
        <w:spacing w:line="360" w:lineRule="auto"/>
        <w:ind w:left="1133" w:leftChars="236" w:hanging="567" w:hangingChars="270"/>
        <w:jc w:val="both"/>
        <w:rPr>
          <w:rFonts w:hAnsi="宋体"/>
          <w:color w:val="auto"/>
          <w:kern w:val="2"/>
          <w:sz w:val="21"/>
          <w:szCs w:val="21"/>
          <w:highlight w:val="none"/>
          <w:lang w:val="zh-CN"/>
        </w:rPr>
      </w:pPr>
      <w:r>
        <w:rPr>
          <w:rFonts w:hint="eastAsia" w:hAnsi="宋体"/>
          <w:color w:val="auto"/>
          <w:kern w:val="2"/>
          <w:sz w:val="21"/>
          <w:szCs w:val="21"/>
          <w:highlight w:val="none"/>
          <w:lang w:val="en-US" w:eastAsia="zh-CN"/>
        </w:rPr>
        <w:t>根据</w:t>
      </w:r>
      <w:r>
        <w:rPr>
          <w:rFonts w:hint="eastAsia" w:hAnsi="宋体"/>
          <w:color w:val="auto"/>
          <w:kern w:val="2"/>
          <w:sz w:val="21"/>
          <w:szCs w:val="21"/>
          <w:highlight w:val="none"/>
        </w:rPr>
        <w:t>《</w:t>
      </w:r>
      <w:r>
        <w:rPr>
          <w:rFonts w:hint="eastAsia" w:hAnsi="宋体"/>
          <w:color w:val="auto"/>
          <w:sz w:val="21"/>
          <w:szCs w:val="21"/>
          <w:highlight w:val="none"/>
        </w:rPr>
        <w:t>中华人民共和国</w:t>
      </w:r>
      <w:r>
        <w:rPr>
          <w:rFonts w:hint="eastAsia" w:hAnsi="宋体"/>
          <w:color w:val="auto"/>
          <w:kern w:val="2"/>
          <w:sz w:val="21"/>
          <w:szCs w:val="21"/>
          <w:highlight w:val="none"/>
        </w:rPr>
        <w:t>政府采购法</w:t>
      </w:r>
      <w:r>
        <w:rPr>
          <w:rFonts w:hint="eastAsia" w:hAnsi="宋体"/>
          <w:color w:val="auto"/>
          <w:kern w:val="2"/>
          <w:sz w:val="21"/>
          <w:szCs w:val="21"/>
          <w:highlight w:val="none"/>
          <w:lang w:val="en-US" w:eastAsia="zh-CN"/>
        </w:rPr>
        <w:t>实施条例</w:t>
      </w:r>
      <w:r>
        <w:rPr>
          <w:rFonts w:hint="eastAsia" w:hAnsi="宋体"/>
          <w:color w:val="auto"/>
          <w:kern w:val="2"/>
          <w:sz w:val="21"/>
          <w:szCs w:val="21"/>
          <w:highlight w:val="none"/>
        </w:rPr>
        <w:t>》第二十二条</w:t>
      </w:r>
      <w:r>
        <w:rPr>
          <w:rFonts w:hint="eastAsia" w:hAnsi="宋体"/>
          <w:color w:val="auto"/>
          <w:kern w:val="2"/>
          <w:sz w:val="21"/>
          <w:szCs w:val="21"/>
          <w:highlight w:val="none"/>
          <w:lang w:eastAsia="zh-CN"/>
        </w:rPr>
        <w:t>，联合体中有同类资质的供应商按照联合体分工承担相同工作的，应当按照资质等级较低的供应商确定资质等级。</w:t>
      </w:r>
    </w:p>
    <w:p>
      <w:pPr>
        <w:numPr>
          <w:ilvl w:val="0"/>
          <w:numId w:val="20"/>
        </w:numPr>
        <w:tabs>
          <w:tab w:val="left" w:pos="709"/>
          <w:tab w:val="clear" w:pos="840"/>
        </w:tabs>
        <w:spacing w:line="360" w:lineRule="auto"/>
        <w:ind w:left="1133" w:leftChars="236" w:hanging="567" w:hangingChars="270"/>
        <w:jc w:val="both"/>
        <w:rPr>
          <w:rFonts w:hAnsi="宋体"/>
          <w:color w:val="auto"/>
          <w:kern w:val="2"/>
          <w:sz w:val="21"/>
          <w:szCs w:val="21"/>
          <w:highlight w:val="none"/>
          <w:lang w:val="zh-CN"/>
        </w:rPr>
      </w:pPr>
      <w:r>
        <w:rPr>
          <w:rFonts w:hint="eastAsia" w:hAnsi="宋体"/>
          <w:color w:val="auto"/>
          <w:kern w:val="2"/>
          <w:sz w:val="21"/>
          <w:szCs w:val="21"/>
          <w:highlight w:val="none"/>
        </w:rPr>
        <w:t>联合体各方应当共同与采购人签订采购合同，就合同约定的事项对采购人承担连带责任。</w:t>
      </w:r>
    </w:p>
    <w:p>
      <w:pPr>
        <w:numPr>
          <w:ilvl w:val="0"/>
          <w:numId w:val="20"/>
        </w:numPr>
        <w:tabs>
          <w:tab w:val="left" w:pos="709"/>
          <w:tab w:val="clear" w:pos="840"/>
        </w:tabs>
        <w:spacing w:line="360" w:lineRule="auto"/>
        <w:ind w:left="1133" w:leftChars="236" w:hanging="567" w:hangingChars="270"/>
        <w:jc w:val="both"/>
        <w:rPr>
          <w:rFonts w:hAnsi="宋体"/>
          <w:color w:val="auto"/>
          <w:kern w:val="2"/>
          <w:sz w:val="21"/>
          <w:szCs w:val="21"/>
          <w:highlight w:val="none"/>
          <w:lang w:val="zh-CN"/>
        </w:rPr>
      </w:pPr>
      <w:r>
        <w:rPr>
          <w:rFonts w:hint="eastAsia" w:hAnsi="宋体"/>
          <w:color w:val="auto"/>
          <w:kern w:val="2"/>
          <w:sz w:val="21"/>
          <w:szCs w:val="21"/>
          <w:highlight w:val="none"/>
        </w:rPr>
        <w:t>投标（响应）供应商统一在一份《中小企业声明函》中说明联合体各方的中小微情况：包括联合体各方均为小型、微型企业的，及中小微企业作为联合体一方参与政府采购活动，且共同投标协议书中约定，小型、微型企业的协议合同金额占到联合体协议合同总金额</w:t>
      </w:r>
      <w:r>
        <w:rPr>
          <w:rFonts w:hAnsi="宋体"/>
          <w:color w:val="auto"/>
          <w:kern w:val="2"/>
          <w:sz w:val="21"/>
          <w:szCs w:val="21"/>
          <w:highlight w:val="none"/>
        </w:rPr>
        <w:t>30%</w:t>
      </w:r>
      <w:r>
        <w:rPr>
          <w:rFonts w:hint="eastAsia" w:hAnsi="宋体"/>
          <w:color w:val="auto"/>
          <w:kern w:val="2"/>
          <w:sz w:val="21"/>
          <w:szCs w:val="21"/>
          <w:highlight w:val="none"/>
        </w:rPr>
        <w:t>以上的。</w:t>
      </w:r>
    </w:p>
    <w:p>
      <w:pPr>
        <w:tabs>
          <w:tab w:val="left" w:pos="567"/>
        </w:tabs>
        <w:spacing w:line="360" w:lineRule="auto"/>
        <w:ind w:left="567"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5</w:t>
      </w:r>
      <w:r>
        <w:rPr>
          <w:rFonts w:hAnsi="宋体"/>
          <w:color w:val="auto"/>
          <w:kern w:val="2"/>
          <w:sz w:val="21"/>
          <w:szCs w:val="21"/>
          <w:highlight w:val="none"/>
          <w:lang w:val="zh-CN"/>
        </w:rPr>
        <w:t>.</w:t>
      </w:r>
      <w:r>
        <w:rPr>
          <w:rFonts w:hint="eastAsia" w:hAnsi="宋体"/>
          <w:color w:val="auto"/>
          <w:kern w:val="2"/>
          <w:sz w:val="21"/>
          <w:szCs w:val="21"/>
          <w:highlight w:val="none"/>
          <w:lang w:val="zh-CN"/>
        </w:rPr>
        <w:t>2</w:t>
      </w:r>
      <w:r>
        <w:rPr>
          <w:rFonts w:hAnsi="宋体"/>
          <w:color w:val="auto"/>
          <w:kern w:val="2"/>
          <w:sz w:val="21"/>
          <w:szCs w:val="21"/>
          <w:highlight w:val="none"/>
          <w:lang w:val="zh-CN"/>
        </w:rPr>
        <w:tab/>
      </w:r>
      <w:r>
        <w:rPr>
          <w:rFonts w:hint="eastAsia" w:hAnsi="宋体"/>
          <w:color w:val="auto"/>
          <w:kern w:val="2"/>
          <w:sz w:val="21"/>
          <w:szCs w:val="21"/>
          <w:highlight w:val="none"/>
          <w:lang w:val="zh-CN"/>
        </w:rPr>
        <w:t>关联企业投标说明</w:t>
      </w:r>
    </w:p>
    <w:p>
      <w:pPr>
        <w:numPr>
          <w:ilvl w:val="0"/>
          <w:numId w:val="21"/>
        </w:numPr>
        <w:tabs>
          <w:tab w:val="left" w:pos="709"/>
        </w:tabs>
        <w:spacing w:line="360" w:lineRule="auto"/>
        <w:ind w:left="1133" w:leftChars="236" w:hanging="567" w:hangingChars="270"/>
        <w:jc w:val="both"/>
        <w:rPr>
          <w:rFonts w:hAnsi="宋体"/>
          <w:color w:val="auto"/>
          <w:kern w:val="2"/>
          <w:sz w:val="21"/>
          <w:szCs w:val="21"/>
          <w:highlight w:val="none"/>
          <w:lang w:val="zh-CN"/>
        </w:rPr>
      </w:pPr>
      <w:r>
        <w:rPr>
          <w:rFonts w:hint="eastAsia" w:hAnsi="宋体"/>
          <w:color w:val="auto"/>
          <w:kern w:val="2"/>
          <w:sz w:val="21"/>
          <w:szCs w:val="21"/>
          <w:highlight w:val="none"/>
        </w:rPr>
        <w:t>对于不接受联合体投标的采购项目（采购包）：法定代表人或单位负责人为同一个人或者存在直接控股、管理关系的不同供应商，不得同时参加同一项目或同一采购包的投标。如同时参加，则其投标将被拒绝。</w:t>
      </w:r>
    </w:p>
    <w:p>
      <w:pPr>
        <w:numPr>
          <w:ilvl w:val="0"/>
          <w:numId w:val="21"/>
        </w:numPr>
        <w:tabs>
          <w:tab w:val="left" w:pos="709"/>
        </w:tabs>
        <w:spacing w:line="360" w:lineRule="auto"/>
        <w:ind w:left="1133" w:leftChars="236" w:hanging="567" w:hangingChars="270"/>
        <w:jc w:val="both"/>
        <w:rPr>
          <w:rFonts w:hAnsi="宋体"/>
          <w:color w:val="auto"/>
          <w:kern w:val="2"/>
          <w:sz w:val="21"/>
          <w:szCs w:val="21"/>
          <w:highlight w:val="none"/>
          <w:lang w:val="zh-CN"/>
        </w:rPr>
      </w:pPr>
      <w:r>
        <w:rPr>
          <w:rFonts w:hint="eastAsia" w:hAnsi="宋体"/>
          <w:color w:val="auto"/>
          <w:kern w:val="2"/>
          <w:sz w:val="21"/>
          <w:szCs w:val="21"/>
          <w:highlight w:val="none"/>
        </w:rPr>
        <w:t>对于接受联合体投标的采购项目（采购包）：除联合体外，法定代表人或单位负责人为同一个人或者存在直接控股、管理关系的不同供应商，不得同时参加同一项目或同一采购包的投标。如同时参加，则评审时将同时被拒绝。</w:t>
      </w:r>
    </w:p>
    <w:p>
      <w:pPr>
        <w:tabs>
          <w:tab w:val="left" w:pos="567"/>
        </w:tabs>
        <w:spacing w:line="360" w:lineRule="auto"/>
        <w:ind w:left="567" w:hanging="567"/>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6</w:t>
      </w:r>
      <w:r>
        <w:rPr>
          <w:rFonts w:hAnsi="宋体"/>
          <w:b/>
          <w:color w:val="auto"/>
          <w:kern w:val="2"/>
          <w:sz w:val="21"/>
          <w:szCs w:val="21"/>
          <w:highlight w:val="none"/>
          <w:lang w:val="zh-CN"/>
        </w:rPr>
        <w:tab/>
      </w:r>
      <w:r>
        <w:rPr>
          <w:rFonts w:hint="eastAsia" w:hAnsi="宋体"/>
          <w:b/>
          <w:color w:val="auto"/>
          <w:kern w:val="2"/>
          <w:sz w:val="21"/>
          <w:szCs w:val="21"/>
          <w:highlight w:val="none"/>
          <w:lang w:val="zh-CN"/>
        </w:rPr>
        <w:t>关于中小微企业投标</w:t>
      </w:r>
    </w:p>
    <w:p>
      <w:pPr>
        <w:tabs>
          <w:tab w:val="left" w:pos="567"/>
        </w:tabs>
        <w:spacing w:line="360" w:lineRule="auto"/>
        <w:ind w:left="480" w:left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1）中小微企业响应是指在政府采购活动中，供应商提供的货物均由中小微企业制造、工程均由中小微企业承建或者服务均由中小微企业承接，并在响应文件中提供《中小企业声明函》。本条款所称中小微企业，是指在中华人民共和国境内依法设立，依据国务院批准的中小企业划分标准确定的中型企业、小型企业和微型企业，但与大企业的负责人为同一人，或者与大企业存在直接控股、管理关系的除外。符合中小企业划分标准的个体工商户，在政府采购活动中视同中小企业。中小企业划分见《关于印发中小企业划型标准规定的通知》（工信部联企业〔2011〕300号)。</w:t>
      </w:r>
    </w:p>
    <w:p>
      <w:pPr>
        <w:tabs>
          <w:tab w:val="left" w:pos="567"/>
        </w:tabs>
        <w:spacing w:line="360" w:lineRule="auto"/>
        <w:ind w:left="480" w:left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（2）根据财库〔2014〕68号《财政部 司法部关于政府采购支持监狱企业发展有关问题的通知》，监狱企业视同小微企业。监狱企业是指由司法部认定的为罪犯、戒毒人员提供生产项目和劳动对象，且全部产权属于司法部监狱管理局、戒毒管理局、直属煤矿管理局，各省、自治区、直辖市监狱管理局、戒毒管理局，各地(设区的市)监狱、强制隔离戒毒所、戒毒康复所，以及新疆生产建设兵团监狱管理局、戒毒管理局的企业。监狱企业投标时，提供由省级以上监狱管理局、戒毒管理局(含新疆生产建设兵团)出具的属于监狱企业的证明文件，不再提供《中小企业声明函》。</w:t>
      </w:r>
    </w:p>
    <w:p>
      <w:pPr>
        <w:tabs>
          <w:tab w:val="left" w:pos="567"/>
        </w:tabs>
        <w:spacing w:line="360" w:lineRule="auto"/>
        <w:ind w:left="480" w:left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（3）根据财库〔2017〕141号《财政部 民政部 中国残疾人联合会关于促进残疾人就业政府采购政策的通知》，在政府采购活动中，残疾人福利性单位视同小型、微型企业，享受政府采购支持政策的残疾人福利性单位应当同时满足《财政部 民政部 中国残疾人联合会关于促进残疾人就业政府采购政策的通知》所列条件。残疾人福利性单位属于小型、微型企业的，不重复享受政策。符合条件的残疾人福利性单位在参加政府采购活动时，应当提供《残疾人福利性单位声明函》，并对声明的真实性负责。</w:t>
      </w:r>
    </w:p>
    <w:p>
      <w:pPr>
        <w:tabs>
          <w:tab w:val="left" w:pos="567"/>
        </w:tabs>
        <w:spacing w:line="360" w:lineRule="auto"/>
        <w:ind w:left="567" w:hanging="567"/>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7    投标费用</w:t>
      </w:r>
    </w:p>
    <w:p>
      <w:pPr>
        <w:tabs>
          <w:tab w:val="left" w:pos="567"/>
        </w:tabs>
        <w:spacing w:line="360" w:lineRule="auto"/>
        <w:ind w:left="567" w:hanging="567" w:hangingChars="270"/>
        <w:jc w:val="both"/>
        <w:rPr>
          <w:rFonts w:hAnsi="宋体"/>
          <w:color w:val="auto"/>
          <w:kern w:val="2"/>
          <w:sz w:val="21"/>
          <w:szCs w:val="21"/>
          <w:highlight w:val="none"/>
          <w:lang w:val="zh-CN"/>
        </w:rPr>
      </w:pPr>
      <w:r>
        <w:rPr>
          <w:rFonts w:hint="eastAsia" w:hAnsi="宋体"/>
          <w:color w:val="auto"/>
          <w:kern w:val="2"/>
          <w:sz w:val="21"/>
          <w:szCs w:val="21"/>
          <w:highlight w:val="none"/>
          <w:lang w:val="zh-CN"/>
        </w:rPr>
        <w:t>7.1  供应商应自行承担所有参与投标的相关费用，不论投标的结果如何，采购人或者采购代理机构均无义务和责任承担这些费用。</w:t>
      </w:r>
    </w:p>
    <w:p>
      <w:pPr>
        <w:tabs>
          <w:tab w:val="left" w:pos="567"/>
          <w:tab w:val="left" w:pos="927"/>
        </w:tabs>
        <w:spacing w:line="360" w:lineRule="auto"/>
        <w:ind w:left="632" w:hanging="632" w:hangingChars="300"/>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8    踏勘现场</w:t>
      </w:r>
    </w:p>
    <w:p>
      <w:pPr>
        <w:tabs>
          <w:tab w:val="left" w:pos="567"/>
        </w:tabs>
        <w:spacing w:line="360" w:lineRule="auto"/>
        <w:ind w:left="567" w:hanging="567" w:hangingChars="270"/>
        <w:jc w:val="both"/>
        <w:rPr>
          <w:rFonts w:hAnsi="宋体"/>
          <w:color w:val="auto"/>
          <w:kern w:val="2"/>
          <w:sz w:val="21"/>
          <w:szCs w:val="21"/>
          <w:highlight w:val="none"/>
          <w:lang w:val="zh-CN"/>
        </w:rPr>
      </w:pPr>
      <w:r>
        <w:rPr>
          <w:rFonts w:hint="eastAsia" w:hAnsi="宋体"/>
          <w:color w:val="auto"/>
          <w:kern w:val="2"/>
          <w:sz w:val="21"/>
          <w:szCs w:val="21"/>
          <w:highlight w:val="none"/>
          <w:lang w:val="zh-CN"/>
        </w:rPr>
        <w:t>8.1  供应商应按《供应商须知前附表》所述时间和要求对项目实施现场及周围环境进行踏勘，供应商应充分重视和仔细地进行这种考察，以便获取那些须供应商自己负责的有关编制响应文件和签署合同所涉及现场所有的资料。一旦成交，这种考察即被认为其结果已在响应文件中得到充分反映。考察现场的费用由供应商自己承担。</w:t>
      </w:r>
    </w:p>
    <w:p>
      <w:pPr>
        <w:tabs>
          <w:tab w:val="left" w:pos="567"/>
        </w:tabs>
        <w:spacing w:line="360" w:lineRule="auto"/>
        <w:ind w:left="567" w:hanging="567" w:hangingChars="270"/>
        <w:jc w:val="both"/>
        <w:rPr>
          <w:rFonts w:hAnsi="宋体"/>
          <w:color w:val="auto"/>
          <w:kern w:val="2"/>
          <w:sz w:val="21"/>
          <w:szCs w:val="21"/>
          <w:highlight w:val="none"/>
          <w:lang w:val="zh-CN"/>
        </w:rPr>
      </w:pPr>
      <w:r>
        <w:rPr>
          <w:rFonts w:hint="eastAsia" w:hAnsi="宋体"/>
          <w:color w:val="auto"/>
          <w:kern w:val="2"/>
          <w:sz w:val="21"/>
          <w:szCs w:val="21"/>
          <w:highlight w:val="none"/>
          <w:lang w:val="zh-CN"/>
        </w:rPr>
        <w:t>8.2  采购人向供应商提供的有关现场的数据和资料，是采购人现有的能被供应商利用的资料，采购人对供应商做出的任何推论、理解和结论均不负责任。</w:t>
      </w:r>
    </w:p>
    <w:p>
      <w:pPr>
        <w:tabs>
          <w:tab w:val="left" w:pos="567"/>
        </w:tabs>
        <w:spacing w:line="360" w:lineRule="auto"/>
        <w:ind w:left="567" w:hanging="567" w:hangingChars="270"/>
        <w:jc w:val="both"/>
        <w:rPr>
          <w:rFonts w:hAnsi="宋体"/>
          <w:color w:val="auto"/>
          <w:kern w:val="2"/>
          <w:sz w:val="21"/>
          <w:szCs w:val="21"/>
          <w:highlight w:val="none"/>
          <w:lang w:val="zh-CN"/>
        </w:rPr>
      </w:pPr>
      <w:r>
        <w:rPr>
          <w:rFonts w:hint="eastAsia" w:hAnsi="宋体"/>
          <w:color w:val="auto"/>
          <w:kern w:val="2"/>
          <w:sz w:val="21"/>
          <w:szCs w:val="21"/>
          <w:highlight w:val="none"/>
          <w:lang w:val="zh-CN"/>
        </w:rPr>
        <w:t>8.3  经采购人允许，供应商可为踏勘目的进入采购人的项目实施现场。在考察过程中，供应商及其代表必须承担那些进入现场后，由于他们的行为所造成的人身伤害（不管是否致命）、财产损失或损坏，以及其他任何原因造成的损失、损坏或费用，供应商不得因此使采购人承担有关的责任和蒙受损失。</w:t>
      </w:r>
    </w:p>
    <w:p>
      <w:pPr>
        <w:tabs>
          <w:tab w:val="left" w:pos="567"/>
          <w:tab w:val="left" w:pos="927"/>
        </w:tabs>
        <w:spacing w:line="360" w:lineRule="auto"/>
        <w:ind w:left="632" w:hanging="632" w:hangingChars="300"/>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9</w:t>
      </w:r>
      <w:r>
        <w:rPr>
          <w:rFonts w:hAnsi="宋体"/>
          <w:b/>
          <w:color w:val="auto"/>
          <w:kern w:val="2"/>
          <w:sz w:val="21"/>
          <w:szCs w:val="21"/>
          <w:highlight w:val="none"/>
          <w:lang w:val="zh-CN"/>
        </w:rPr>
        <w:tab/>
      </w:r>
      <w:r>
        <w:rPr>
          <w:rFonts w:hint="eastAsia" w:hAnsi="宋体"/>
          <w:b/>
          <w:color w:val="auto"/>
          <w:kern w:val="2"/>
          <w:sz w:val="21"/>
          <w:szCs w:val="21"/>
          <w:highlight w:val="none"/>
          <w:lang w:val="zh-CN"/>
        </w:rPr>
        <w:t>纪律与保密事项</w:t>
      </w:r>
    </w:p>
    <w:p>
      <w:pPr>
        <w:tabs>
          <w:tab w:val="left" w:pos="567"/>
        </w:tabs>
        <w:spacing w:line="360" w:lineRule="auto"/>
        <w:ind w:left="567" w:hanging="567" w:hangingChars="270"/>
        <w:jc w:val="both"/>
        <w:rPr>
          <w:rFonts w:hAnsi="宋体"/>
          <w:color w:val="auto"/>
          <w:kern w:val="2"/>
          <w:sz w:val="21"/>
          <w:szCs w:val="21"/>
          <w:highlight w:val="none"/>
          <w:lang w:val="zh-CN"/>
        </w:rPr>
      </w:pPr>
      <w:r>
        <w:rPr>
          <w:rFonts w:hint="eastAsia" w:hAnsi="宋体"/>
          <w:color w:val="auto"/>
          <w:kern w:val="2"/>
          <w:sz w:val="21"/>
          <w:szCs w:val="21"/>
          <w:highlight w:val="none"/>
          <w:lang w:val="zh-CN"/>
        </w:rPr>
        <w:t>9.1  供应商不得相互串通磋商报价，不得妨碍其他供应商的公平竞争，不得损害采购人或其他供应商的合法权益，供应商不得以向采购人、磋商小组成员行贿或者采取其他不正当手段谋取成交。</w:t>
      </w:r>
    </w:p>
    <w:p>
      <w:pPr>
        <w:tabs>
          <w:tab w:val="left" w:pos="567"/>
        </w:tabs>
        <w:spacing w:line="360" w:lineRule="auto"/>
        <w:ind w:left="567" w:hanging="567" w:hangingChars="270"/>
        <w:jc w:val="both"/>
        <w:rPr>
          <w:rFonts w:hAnsi="宋体"/>
          <w:color w:val="auto"/>
          <w:kern w:val="2"/>
          <w:sz w:val="21"/>
          <w:szCs w:val="21"/>
          <w:highlight w:val="none"/>
          <w:lang w:val="zh-CN"/>
        </w:rPr>
      </w:pPr>
      <w:r>
        <w:rPr>
          <w:rFonts w:hint="eastAsia" w:hAnsi="宋体"/>
          <w:color w:val="auto"/>
          <w:kern w:val="2"/>
          <w:sz w:val="21"/>
          <w:szCs w:val="21"/>
          <w:highlight w:val="none"/>
          <w:lang w:val="zh-CN"/>
        </w:rPr>
        <w:t>9.2  供应商不得与采购人就响应价格、响应方案等实质性内容进行磋商，也不得私下接触磋商小组成员。</w:t>
      </w:r>
    </w:p>
    <w:p>
      <w:pPr>
        <w:tabs>
          <w:tab w:val="left" w:pos="567"/>
        </w:tabs>
        <w:spacing w:line="360" w:lineRule="auto"/>
        <w:ind w:left="567" w:hanging="567" w:hangingChars="270"/>
        <w:jc w:val="both"/>
        <w:rPr>
          <w:rFonts w:hAnsi="宋体"/>
          <w:color w:val="auto"/>
          <w:kern w:val="2"/>
          <w:sz w:val="21"/>
          <w:szCs w:val="21"/>
          <w:highlight w:val="none"/>
          <w:lang w:val="zh-CN"/>
        </w:rPr>
      </w:pPr>
      <w:r>
        <w:rPr>
          <w:rFonts w:hint="eastAsia" w:hAnsi="宋体"/>
          <w:color w:val="auto"/>
          <w:kern w:val="2"/>
          <w:sz w:val="21"/>
          <w:szCs w:val="21"/>
          <w:highlight w:val="none"/>
          <w:lang w:val="zh-CN"/>
        </w:rPr>
        <w:t>9.3  在确定成交供应商之前，供应商试图在响应文件审查、澄清、比较和评价时对磋商小组、采购人和采购代理机构施加任何影响都可能导致其响应无效。</w:t>
      </w:r>
    </w:p>
    <w:p>
      <w:pPr>
        <w:tabs>
          <w:tab w:val="left" w:pos="567"/>
        </w:tabs>
        <w:spacing w:line="360" w:lineRule="auto"/>
        <w:ind w:left="567" w:hanging="567" w:hangingChars="270"/>
        <w:jc w:val="both"/>
        <w:rPr>
          <w:rFonts w:hAnsi="宋体"/>
          <w:color w:val="auto"/>
          <w:kern w:val="2"/>
          <w:sz w:val="21"/>
          <w:szCs w:val="21"/>
          <w:highlight w:val="none"/>
          <w:lang w:val="zh-CN"/>
        </w:rPr>
      </w:pPr>
      <w:r>
        <w:rPr>
          <w:rFonts w:hint="eastAsia" w:hAnsi="宋体"/>
          <w:color w:val="auto"/>
          <w:kern w:val="2"/>
          <w:sz w:val="21"/>
          <w:szCs w:val="21"/>
          <w:highlight w:val="none"/>
          <w:lang w:val="zh-CN"/>
        </w:rPr>
        <w:t>9.4  获得本磋商文件者，须履行本磋商项目下保密义务，不得将因本次磋商获得的信息向第三人外传，不得将磋商文件用作本次响应以外的任何用途。</w:t>
      </w:r>
    </w:p>
    <w:p>
      <w:pPr>
        <w:tabs>
          <w:tab w:val="left" w:pos="567"/>
        </w:tabs>
        <w:spacing w:line="360" w:lineRule="auto"/>
        <w:ind w:left="567" w:hanging="567" w:hangingChars="270"/>
        <w:jc w:val="both"/>
        <w:rPr>
          <w:rFonts w:hAnsi="宋体"/>
          <w:color w:val="auto"/>
          <w:kern w:val="2"/>
          <w:sz w:val="21"/>
          <w:szCs w:val="21"/>
          <w:highlight w:val="none"/>
          <w:lang w:val="zh-CN"/>
        </w:rPr>
      </w:pPr>
      <w:r>
        <w:rPr>
          <w:rFonts w:hint="eastAsia" w:hAnsi="宋体"/>
          <w:color w:val="auto"/>
          <w:kern w:val="2"/>
          <w:sz w:val="21"/>
          <w:szCs w:val="21"/>
          <w:highlight w:val="none"/>
          <w:lang w:val="zh-CN"/>
        </w:rPr>
        <w:t>9.5  由采购人向供应商提供的图纸、详细资料、样品、模型、模件和所有其它资料，均为保密资料，仅被用于它所规定的用途。除非得到采购人的同意，不能向任何第三方透露。开启结束后，应采购人要求，供应商应归还所有从采购人处获得的保密资料。</w:t>
      </w:r>
    </w:p>
    <w:p>
      <w:pPr>
        <w:tabs>
          <w:tab w:val="left" w:pos="567"/>
        </w:tabs>
        <w:spacing w:line="360" w:lineRule="auto"/>
        <w:ind w:left="567" w:hanging="567" w:hangingChars="270"/>
        <w:jc w:val="both"/>
        <w:rPr>
          <w:rFonts w:hAnsi="宋体"/>
          <w:color w:val="auto"/>
          <w:kern w:val="2"/>
          <w:sz w:val="21"/>
          <w:szCs w:val="21"/>
          <w:highlight w:val="none"/>
          <w:lang w:val="zh-CN"/>
        </w:rPr>
      </w:pPr>
      <w:r>
        <w:rPr>
          <w:rFonts w:hint="eastAsia" w:hAnsi="宋体"/>
          <w:color w:val="auto"/>
          <w:kern w:val="2"/>
          <w:sz w:val="21"/>
          <w:szCs w:val="21"/>
          <w:highlight w:val="none"/>
          <w:lang w:val="zh-CN"/>
        </w:rPr>
        <w:t>9.6  采购人或采购代理机构有权将供应商提供的所有资料向有关政府部门或询价小组披露。</w:t>
      </w:r>
    </w:p>
    <w:p>
      <w:pPr>
        <w:tabs>
          <w:tab w:val="left" w:pos="567"/>
        </w:tabs>
        <w:spacing w:line="360" w:lineRule="auto"/>
        <w:ind w:left="567" w:hanging="567" w:hangingChars="270"/>
        <w:jc w:val="both"/>
        <w:rPr>
          <w:rFonts w:hAnsi="宋体"/>
          <w:color w:val="auto"/>
          <w:kern w:val="2"/>
          <w:sz w:val="21"/>
          <w:szCs w:val="21"/>
          <w:highlight w:val="none"/>
          <w:lang w:val="zh-CN"/>
        </w:rPr>
      </w:pPr>
      <w:r>
        <w:rPr>
          <w:rFonts w:hint="eastAsia" w:hAnsi="宋体"/>
          <w:color w:val="auto"/>
          <w:kern w:val="2"/>
          <w:sz w:val="21"/>
          <w:szCs w:val="21"/>
          <w:highlight w:val="none"/>
          <w:lang w:val="zh-CN"/>
        </w:rPr>
        <w:t>9.7  在采购人或采购代理机构认为适当时、国家机关调查、审查、审计时以及其他符合法律规定的情形下，采购人或采购代理机构无须事先征求供应商同意而可以披露关于采购过程、合同文本、签署情况的资料、供应商的名称及地址、响应文件的有关信息以及补充条款等，但应当在合理的必要范围内。对任何已经公布过的内容或与之内容相同的资料，以及供应商已经泄露或公开的，无须再承担保密责任。</w:t>
      </w:r>
    </w:p>
    <w:p>
      <w:pPr>
        <w:tabs>
          <w:tab w:val="left" w:pos="567"/>
          <w:tab w:val="left" w:pos="927"/>
        </w:tabs>
        <w:spacing w:line="360" w:lineRule="auto"/>
        <w:ind w:left="632" w:hanging="632" w:hangingChars="300"/>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10</w:t>
      </w:r>
      <w:r>
        <w:rPr>
          <w:rFonts w:hAnsi="宋体"/>
          <w:b/>
          <w:color w:val="auto"/>
          <w:kern w:val="2"/>
          <w:sz w:val="21"/>
          <w:szCs w:val="21"/>
          <w:highlight w:val="none"/>
          <w:lang w:val="zh-CN"/>
        </w:rPr>
        <w:tab/>
      </w:r>
      <w:r>
        <w:rPr>
          <w:rFonts w:hint="eastAsia" w:hAnsi="宋体"/>
          <w:b/>
          <w:color w:val="auto"/>
          <w:kern w:val="2"/>
          <w:sz w:val="21"/>
          <w:szCs w:val="21"/>
          <w:highlight w:val="none"/>
          <w:lang w:val="zh-CN"/>
        </w:rPr>
        <w:t>回避制度</w:t>
      </w:r>
    </w:p>
    <w:p>
      <w:pPr>
        <w:tabs>
          <w:tab w:val="left" w:pos="567"/>
        </w:tabs>
        <w:spacing w:line="360" w:lineRule="auto"/>
        <w:ind w:left="567" w:right="18"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10</w:t>
      </w:r>
      <w:r>
        <w:rPr>
          <w:rFonts w:hAnsi="宋体"/>
          <w:color w:val="auto"/>
          <w:kern w:val="2"/>
          <w:sz w:val="21"/>
          <w:szCs w:val="21"/>
          <w:highlight w:val="none"/>
          <w:lang w:val="zh-CN"/>
        </w:rPr>
        <w:t>.1</w:t>
      </w:r>
      <w:r>
        <w:rPr>
          <w:rFonts w:hAnsi="宋体"/>
          <w:color w:val="auto"/>
          <w:kern w:val="2"/>
          <w:sz w:val="21"/>
          <w:szCs w:val="21"/>
          <w:highlight w:val="none"/>
          <w:lang w:val="zh-CN"/>
        </w:rPr>
        <w:tab/>
      </w:r>
      <w:r>
        <w:rPr>
          <w:rFonts w:hint="eastAsia" w:hAnsi="宋体"/>
          <w:color w:val="auto"/>
          <w:kern w:val="2"/>
          <w:sz w:val="21"/>
          <w:szCs w:val="21"/>
          <w:highlight w:val="none"/>
          <w:lang w:val="zh-CN"/>
        </w:rPr>
        <w:t>在政府采购活动中，采购人员及相关人员与供应商有下列利害关系之一的，应当回避：</w:t>
      </w:r>
    </w:p>
    <w:p>
      <w:pPr>
        <w:tabs>
          <w:tab w:val="left" w:pos="567"/>
        </w:tabs>
        <w:spacing w:line="360" w:lineRule="auto"/>
        <w:ind w:left="567" w:hanging="567" w:hangingChars="270"/>
        <w:jc w:val="both"/>
        <w:rPr>
          <w:rFonts w:hAnsi="宋体"/>
          <w:color w:val="auto"/>
          <w:kern w:val="2"/>
          <w:sz w:val="21"/>
          <w:szCs w:val="21"/>
          <w:highlight w:val="none"/>
          <w:lang w:val="zh-CN"/>
        </w:rPr>
      </w:pPr>
      <w:r>
        <w:rPr>
          <w:rFonts w:hint="eastAsia" w:hAnsi="宋体"/>
          <w:color w:val="auto"/>
          <w:kern w:val="2"/>
          <w:sz w:val="21"/>
          <w:szCs w:val="21"/>
          <w:highlight w:val="none"/>
          <w:lang w:val="zh-CN"/>
        </w:rPr>
        <w:t>　　（1）参加采购活动前3年内与供应商存在劳动关系；</w:t>
      </w:r>
    </w:p>
    <w:p>
      <w:pPr>
        <w:tabs>
          <w:tab w:val="left" w:pos="567"/>
        </w:tabs>
        <w:spacing w:line="360" w:lineRule="auto"/>
        <w:ind w:left="567" w:right="18"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　　（2）参加采购活动前3年内担任供应商的董事、监事；</w:t>
      </w:r>
    </w:p>
    <w:p>
      <w:pPr>
        <w:tabs>
          <w:tab w:val="left" w:pos="567"/>
        </w:tabs>
        <w:spacing w:line="360" w:lineRule="auto"/>
        <w:ind w:left="567" w:right="18"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　　（3）参加采购活动前3年内是供应商的控股股东或者实际控制人；</w:t>
      </w:r>
    </w:p>
    <w:p>
      <w:pPr>
        <w:tabs>
          <w:tab w:val="left" w:pos="567"/>
        </w:tabs>
        <w:spacing w:line="360" w:lineRule="auto"/>
        <w:ind w:left="567" w:right="18"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　　（4）与供应商的法定代表人或者负责人有夫妻、直系血亲、三代以内旁系血亲或者近姻亲关系；</w:t>
      </w:r>
    </w:p>
    <w:p>
      <w:pPr>
        <w:tabs>
          <w:tab w:val="left" w:pos="567"/>
        </w:tabs>
        <w:spacing w:line="360" w:lineRule="auto"/>
        <w:ind w:left="567" w:right="18"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　　（5）与供应商有其他可能影响政府采购活动公平、公正进行的关系。</w:t>
      </w:r>
    </w:p>
    <w:p>
      <w:pPr>
        <w:spacing w:line="360" w:lineRule="auto"/>
        <w:ind w:left="567" w:right="18"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10</w:t>
      </w:r>
      <w:r>
        <w:rPr>
          <w:rFonts w:hAnsi="宋体"/>
          <w:color w:val="auto"/>
          <w:kern w:val="2"/>
          <w:sz w:val="21"/>
          <w:szCs w:val="21"/>
          <w:highlight w:val="none"/>
          <w:lang w:val="zh-CN"/>
        </w:rPr>
        <w:t>.</w:t>
      </w:r>
      <w:r>
        <w:rPr>
          <w:rFonts w:hint="eastAsia" w:hAnsi="宋体"/>
          <w:color w:val="auto"/>
          <w:kern w:val="2"/>
          <w:sz w:val="21"/>
          <w:szCs w:val="21"/>
          <w:highlight w:val="none"/>
          <w:lang w:val="zh-CN"/>
        </w:rPr>
        <w:t>2</w:t>
      </w:r>
      <w:r>
        <w:rPr>
          <w:rFonts w:hAnsi="宋体"/>
          <w:color w:val="auto"/>
          <w:kern w:val="2"/>
          <w:sz w:val="21"/>
          <w:szCs w:val="21"/>
          <w:highlight w:val="none"/>
          <w:lang w:val="zh-CN"/>
        </w:rPr>
        <w:tab/>
      </w:r>
      <w:r>
        <w:rPr>
          <w:rFonts w:hint="eastAsia" w:hAnsi="宋体"/>
          <w:color w:val="auto"/>
          <w:kern w:val="2"/>
          <w:sz w:val="21"/>
          <w:szCs w:val="21"/>
          <w:highlight w:val="none"/>
          <w:lang w:val="zh-CN"/>
        </w:rPr>
        <w:t>供应商认为采购人员及相关人员与其他供应商有利害关系的，可以向采购人或者采购代理机构书面提出回避申请，并说明理由。采购人或者采购代理机构将及时询问被申请回避人员，有利害关系的被申请回避人员应当回避。</w:t>
      </w:r>
    </w:p>
    <w:p>
      <w:pPr>
        <w:spacing w:line="360" w:lineRule="auto"/>
        <w:ind w:left="567" w:right="18"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10</w:t>
      </w:r>
      <w:r>
        <w:rPr>
          <w:rFonts w:hAnsi="宋体"/>
          <w:color w:val="auto"/>
          <w:kern w:val="2"/>
          <w:sz w:val="21"/>
          <w:szCs w:val="21"/>
          <w:highlight w:val="none"/>
          <w:lang w:val="zh-CN"/>
        </w:rPr>
        <w:t>.</w:t>
      </w:r>
      <w:r>
        <w:rPr>
          <w:rFonts w:hint="eastAsia" w:hAnsi="宋体"/>
          <w:color w:val="auto"/>
          <w:kern w:val="2"/>
          <w:sz w:val="21"/>
          <w:szCs w:val="21"/>
          <w:highlight w:val="none"/>
          <w:lang w:val="zh-CN"/>
        </w:rPr>
        <w:t>3</w:t>
      </w:r>
      <w:r>
        <w:rPr>
          <w:rFonts w:hAnsi="宋体"/>
          <w:color w:val="auto"/>
          <w:kern w:val="2"/>
          <w:sz w:val="21"/>
          <w:szCs w:val="21"/>
          <w:highlight w:val="none"/>
          <w:lang w:val="zh-CN"/>
        </w:rPr>
        <w:tab/>
      </w:r>
      <w:r>
        <w:rPr>
          <w:rFonts w:hint="eastAsia" w:hAnsi="宋体"/>
          <w:color w:val="auto"/>
          <w:kern w:val="2"/>
          <w:sz w:val="21"/>
          <w:szCs w:val="21"/>
          <w:highlight w:val="none"/>
          <w:lang w:val="zh-CN"/>
        </w:rPr>
        <w:t>评审专家发现本人与参加采购活动的供应商有利害关系的,应当主动提出回避。采购人或者采购代理机构发现评审专家与参加采购活动的供应商有利害关系的,将要求其回避。</w:t>
      </w:r>
    </w:p>
    <w:p>
      <w:pPr>
        <w:spacing w:line="360" w:lineRule="auto"/>
        <w:ind w:left="567" w:right="18"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10</w:t>
      </w:r>
      <w:r>
        <w:rPr>
          <w:rFonts w:hAnsi="宋体"/>
          <w:color w:val="auto"/>
          <w:kern w:val="2"/>
          <w:sz w:val="21"/>
          <w:szCs w:val="21"/>
          <w:highlight w:val="none"/>
          <w:lang w:val="zh-CN"/>
        </w:rPr>
        <w:t>.</w:t>
      </w:r>
      <w:r>
        <w:rPr>
          <w:rFonts w:hint="eastAsia" w:hAnsi="宋体"/>
          <w:color w:val="auto"/>
          <w:kern w:val="2"/>
          <w:sz w:val="21"/>
          <w:szCs w:val="21"/>
          <w:highlight w:val="none"/>
          <w:lang w:val="zh-CN"/>
        </w:rPr>
        <w:t>4</w:t>
      </w:r>
      <w:r>
        <w:rPr>
          <w:rFonts w:hAnsi="宋体"/>
          <w:color w:val="auto"/>
          <w:kern w:val="2"/>
          <w:sz w:val="21"/>
          <w:szCs w:val="21"/>
          <w:highlight w:val="none"/>
          <w:lang w:val="zh-CN"/>
        </w:rPr>
        <w:tab/>
      </w:r>
      <w:r>
        <w:rPr>
          <w:rFonts w:hint="eastAsia" w:hAnsi="宋体"/>
          <w:color w:val="auto"/>
          <w:kern w:val="2"/>
          <w:sz w:val="21"/>
          <w:szCs w:val="21"/>
          <w:highlight w:val="none"/>
          <w:lang w:val="zh-CN"/>
        </w:rPr>
        <w:t>除法律法规有特殊规定的情形外,评审专家对本单位的政府采购项目只能作为采购人代表参与评审活动。</w:t>
      </w:r>
    </w:p>
    <w:p>
      <w:pPr>
        <w:spacing w:line="360" w:lineRule="auto"/>
        <w:ind w:left="567" w:right="18"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10</w:t>
      </w:r>
      <w:r>
        <w:rPr>
          <w:rFonts w:hAnsi="宋体"/>
          <w:color w:val="auto"/>
          <w:kern w:val="2"/>
          <w:sz w:val="21"/>
          <w:szCs w:val="21"/>
          <w:highlight w:val="none"/>
          <w:lang w:val="zh-CN"/>
        </w:rPr>
        <w:t>.</w:t>
      </w:r>
      <w:r>
        <w:rPr>
          <w:rFonts w:hint="eastAsia" w:hAnsi="宋体"/>
          <w:color w:val="auto"/>
          <w:kern w:val="2"/>
          <w:sz w:val="21"/>
          <w:szCs w:val="21"/>
          <w:highlight w:val="none"/>
          <w:lang w:val="zh-CN"/>
        </w:rPr>
        <w:t>5</w:t>
      </w:r>
      <w:r>
        <w:rPr>
          <w:rFonts w:hAnsi="宋体"/>
          <w:color w:val="auto"/>
          <w:kern w:val="2"/>
          <w:sz w:val="21"/>
          <w:szCs w:val="21"/>
          <w:highlight w:val="none"/>
          <w:lang w:val="zh-CN"/>
        </w:rPr>
        <w:tab/>
      </w:r>
      <w:r>
        <w:rPr>
          <w:rFonts w:hint="eastAsia" w:hAnsi="宋体"/>
          <w:color w:val="auto"/>
          <w:kern w:val="2"/>
          <w:sz w:val="21"/>
          <w:szCs w:val="21"/>
          <w:highlight w:val="none"/>
          <w:lang w:val="zh-CN"/>
        </w:rPr>
        <w:t>各级财政部门政府采购监督管理工作人员,不得作为评审专家参与政府采购项目的评审活动。</w:t>
      </w:r>
    </w:p>
    <w:p>
      <w:pPr>
        <w:pStyle w:val="4"/>
        <w:spacing w:line="360" w:lineRule="auto"/>
        <w:rPr>
          <w:rFonts w:hAnsi="宋体"/>
          <w:b/>
          <w:color w:val="auto"/>
          <w:kern w:val="2"/>
          <w:sz w:val="21"/>
          <w:szCs w:val="21"/>
          <w:highlight w:val="none"/>
          <w:lang w:val="zh-CN"/>
        </w:rPr>
      </w:pPr>
      <w:bookmarkStart w:id="65" w:name="_Toc396137234"/>
      <w:bookmarkStart w:id="66" w:name="_Toc25218"/>
      <w:r>
        <w:rPr>
          <w:rFonts w:hint="eastAsia" w:hAnsi="宋体"/>
          <w:b/>
          <w:color w:val="auto"/>
          <w:kern w:val="2"/>
          <w:sz w:val="21"/>
          <w:szCs w:val="21"/>
          <w:highlight w:val="none"/>
          <w:lang w:val="zh-CN"/>
        </w:rPr>
        <w:t>（二）磋商文件</w:t>
      </w:r>
      <w:bookmarkEnd w:id="65"/>
      <w:bookmarkEnd w:id="66"/>
    </w:p>
    <w:p>
      <w:pPr>
        <w:tabs>
          <w:tab w:val="left" w:pos="567"/>
        </w:tabs>
        <w:spacing w:line="360" w:lineRule="auto"/>
        <w:ind w:left="567" w:hanging="567"/>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11</w:t>
      </w:r>
      <w:r>
        <w:rPr>
          <w:rFonts w:hAnsi="宋体"/>
          <w:b/>
          <w:color w:val="auto"/>
          <w:kern w:val="2"/>
          <w:sz w:val="21"/>
          <w:szCs w:val="21"/>
          <w:highlight w:val="none"/>
          <w:lang w:val="zh-CN"/>
        </w:rPr>
        <w:tab/>
      </w:r>
      <w:r>
        <w:rPr>
          <w:rFonts w:hint="eastAsia" w:hAnsi="宋体"/>
          <w:b/>
          <w:color w:val="auto"/>
          <w:kern w:val="2"/>
          <w:sz w:val="21"/>
          <w:szCs w:val="21"/>
          <w:highlight w:val="none"/>
          <w:lang w:val="zh-CN"/>
        </w:rPr>
        <w:t>磋商文件的构成</w:t>
      </w:r>
    </w:p>
    <w:p>
      <w:pPr>
        <w:tabs>
          <w:tab w:val="left" w:pos="567"/>
        </w:tabs>
        <w:spacing w:line="360" w:lineRule="auto"/>
        <w:ind w:left="567"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11</w:t>
      </w:r>
      <w:r>
        <w:rPr>
          <w:rFonts w:hAnsi="宋体"/>
          <w:color w:val="auto"/>
          <w:kern w:val="2"/>
          <w:sz w:val="21"/>
          <w:szCs w:val="21"/>
          <w:highlight w:val="none"/>
          <w:lang w:val="zh-CN"/>
        </w:rPr>
        <w:t>.1</w:t>
      </w:r>
      <w:r>
        <w:rPr>
          <w:rFonts w:hint="eastAsia" w:hAnsi="宋体"/>
          <w:color w:val="auto"/>
          <w:kern w:val="2"/>
          <w:sz w:val="21"/>
          <w:szCs w:val="21"/>
          <w:highlight w:val="none"/>
          <w:lang w:val="zh-CN"/>
        </w:rPr>
        <w:t xml:space="preserve"> 磋商文件由下列文件以及在招标过程中发出的澄清更正文件组成：</w:t>
      </w:r>
    </w:p>
    <w:p>
      <w:pPr>
        <w:tabs>
          <w:tab w:val="left" w:pos="1560"/>
        </w:tabs>
        <w:spacing w:line="360" w:lineRule="auto"/>
        <w:ind w:left="1890" w:hanging="1323"/>
        <w:jc w:val="both"/>
        <w:rPr>
          <w:rFonts w:hAnsi="宋体"/>
          <w:color w:val="auto"/>
          <w:kern w:val="2"/>
          <w:sz w:val="21"/>
          <w:szCs w:val="21"/>
          <w:highlight w:val="none"/>
          <w:lang w:val="zh-CN"/>
        </w:rPr>
      </w:pPr>
      <w:r>
        <w:rPr>
          <w:rFonts w:hint="eastAsia" w:hAnsi="宋体"/>
          <w:color w:val="auto"/>
          <w:kern w:val="2"/>
          <w:sz w:val="21"/>
          <w:szCs w:val="21"/>
          <w:highlight w:val="none"/>
          <w:lang w:val="zh-CN"/>
        </w:rPr>
        <w:t>第一篇</w:t>
      </w:r>
      <w:r>
        <w:rPr>
          <w:rFonts w:hAnsi="宋体"/>
          <w:color w:val="auto"/>
          <w:kern w:val="2"/>
          <w:sz w:val="21"/>
          <w:szCs w:val="21"/>
          <w:highlight w:val="none"/>
          <w:lang w:val="zh-CN"/>
        </w:rPr>
        <w:tab/>
      </w:r>
      <w:r>
        <w:rPr>
          <w:rFonts w:hint="eastAsia" w:hAnsi="宋体"/>
          <w:color w:val="auto"/>
          <w:kern w:val="2"/>
          <w:sz w:val="21"/>
          <w:szCs w:val="21"/>
          <w:highlight w:val="none"/>
          <w:lang w:val="zh-CN"/>
        </w:rPr>
        <w:t>磋商邀请书</w:t>
      </w:r>
    </w:p>
    <w:p>
      <w:pPr>
        <w:tabs>
          <w:tab w:val="left" w:pos="1560"/>
        </w:tabs>
        <w:spacing w:line="360" w:lineRule="auto"/>
        <w:ind w:left="1890" w:hanging="1323"/>
        <w:jc w:val="both"/>
        <w:rPr>
          <w:rFonts w:hAnsi="宋体"/>
          <w:color w:val="auto"/>
          <w:kern w:val="2"/>
          <w:sz w:val="21"/>
          <w:szCs w:val="21"/>
          <w:highlight w:val="none"/>
          <w:lang w:val="zh-CN"/>
        </w:rPr>
      </w:pPr>
      <w:r>
        <w:rPr>
          <w:rFonts w:hint="eastAsia" w:hAnsi="宋体"/>
          <w:color w:val="auto"/>
          <w:kern w:val="2"/>
          <w:sz w:val="21"/>
          <w:szCs w:val="21"/>
          <w:highlight w:val="none"/>
          <w:lang w:val="zh-CN"/>
        </w:rPr>
        <w:t>第二篇</w:t>
      </w:r>
      <w:r>
        <w:rPr>
          <w:rFonts w:hAnsi="宋体"/>
          <w:color w:val="auto"/>
          <w:kern w:val="2"/>
          <w:sz w:val="21"/>
          <w:szCs w:val="21"/>
          <w:highlight w:val="none"/>
          <w:lang w:val="zh-CN"/>
        </w:rPr>
        <w:tab/>
      </w:r>
      <w:r>
        <w:rPr>
          <w:rFonts w:hint="eastAsia" w:hAnsi="宋体"/>
          <w:color w:val="auto"/>
          <w:kern w:val="2"/>
          <w:sz w:val="21"/>
          <w:szCs w:val="21"/>
          <w:highlight w:val="none"/>
          <w:lang w:val="zh-CN"/>
        </w:rPr>
        <w:t>采购需求书</w:t>
      </w:r>
    </w:p>
    <w:p>
      <w:pPr>
        <w:tabs>
          <w:tab w:val="left" w:pos="1560"/>
        </w:tabs>
        <w:spacing w:line="360" w:lineRule="auto"/>
        <w:ind w:left="1890" w:hanging="1323"/>
        <w:jc w:val="both"/>
        <w:rPr>
          <w:rFonts w:hAnsi="宋体"/>
          <w:color w:val="auto"/>
          <w:kern w:val="2"/>
          <w:sz w:val="21"/>
          <w:szCs w:val="21"/>
          <w:highlight w:val="none"/>
          <w:lang w:val="zh-CN"/>
        </w:rPr>
      </w:pPr>
      <w:r>
        <w:rPr>
          <w:rFonts w:hint="eastAsia" w:hAnsi="宋体"/>
          <w:color w:val="auto"/>
          <w:kern w:val="2"/>
          <w:sz w:val="21"/>
          <w:szCs w:val="21"/>
          <w:highlight w:val="none"/>
          <w:lang w:val="zh-CN"/>
        </w:rPr>
        <w:t>第三篇</w:t>
      </w:r>
      <w:r>
        <w:rPr>
          <w:rFonts w:hAnsi="宋体"/>
          <w:color w:val="auto"/>
          <w:kern w:val="2"/>
          <w:sz w:val="21"/>
          <w:szCs w:val="21"/>
          <w:highlight w:val="none"/>
          <w:lang w:val="zh-CN"/>
        </w:rPr>
        <w:tab/>
      </w:r>
      <w:r>
        <w:rPr>
          <w:rFonts w:hint="eastAsia" w:hAnsi="宋体"/>
          <w:color w:val="auto"/>
          <w:kern w:val="2"/>
          <w:sz w:val="21"/>
          <w:szCs w:val="21"/>
          <w:highlight w:val="none"/>
          <w:lang w:val="zh-CN"/>
        </w:rPr>
        <w:t>供应商须知</w:t>
      </w:r>
    </w:p>
    <w:p>
      <w:pPr>
        <w:tabs>
          <w:tab w:val="left" w:pos="1560"/>
        </w:tabs>
        <w:spacing w:line="360" w:lineRule="auto"/>
        <w:ind w:left="1890" w:hanging="1323"/>
        <w:jc w:val="both"/>
        <w:rPr>
          <w:rFonts w:hAnsi="宋体"/>
          <w:color w:val="auto"/>
          <w:kern w:val="2"/>
          <w:sz w:val="21"/>
          <w:szCs w:val="21"/>
          <w:highlight w:val="none"/>
          <w:lang w:val="zh-CN"/>
        </w:rPr>
      </w:pPr>
      <w:r>
        <w:rPr>
          <w:rFonts w:hint="eastAsia" w:hAnsi="宋体"/>
          <w:color w:val="auto"/>
          <w:kern w:val="2"/>
          <w:sz w:val="21"/>
          <w:szCs w:val="21"/>
          <w:highlight w:val="none"/>
          <w:lang w:val="zh-CN"/>
        </w:rPr>
        <w:t>第四篇</w:t>
      </w:r>
      <w:r>
        <w:rPr>
          <w:rFonts w:hAnsi="宋体"/>
          <w:color w:val="auto"/>
          <w:kern w:val="2"/>
          <w:sz w:val="21"/>
          <w:szCs w:val="21"/>
          <w:highlight w:val="none"/>
          <w:lang w:val="zh-CN"/>
        </w:rPr>
        <w:tab/>
      </w:r>
      <w:r>
        <w:rPr>
          <w:rFonts w:hint="eastAsia" w:hAnsi="宋体"/>
          <w:color w:val="auto"/>
          <w:kern w:val="2"/>
          <w:sz w:val="21"/>
          <w:szCs w:val="21"/>
          <w:highlight w:val="none"/>
          <w:lang w:val="zh-CN"/>
        </w:rPr>
        <w:t>评标工作大纲</w:t>
      </w:r>
    </w:p>
    <w:p>
      <w:pPr>
        <w:tabs>
          <w:tab w:val="left" w:pos="1560"/>
        </w:tabs>
        <w:spacing w:line="360" w:lineRule="auto"/>
        <w:ind w:left="1890" w:hanging="1323"/>
        <w:jc w:val="both"/>
        <w:rPr>
          <w:rFonts w:hAnsi="宋体"/>
          <w:color w:val="auto"/>
          <w:kern w:val="2"/>
          <w:sz w:val="21"/>
          <w:szCs w:val="21"/>
          <w:highlight w:val="none"/>
          <w:lang w:val="zh-CN"/>
        </w:rPr>
      </w:pPr>
      <w:r>
        <w:rPr>
          <w:rFonts w:hint="eastAsia" w:hAnsi="宋体"/>
          <w:color w:val="auto"/>
          <w:kern w:val="2"/>
          <w:sz w:val="21"/>
          <w:szCs w:val="21"/>
          <w:highlight w:val="none"/>
          <w:lang w:val="zh-CN"/>
        </w:rPr>
        <w:t>第五篇</w:t>
      </w:r>
      <w:r>
        <w:rPr>
          <w:rFonts w:hAnsi="宋体"/>
          <w:color w:val="auto"/>
          <w:kern w:val="2"/>
          <w:sz w:val="21"/>
          <w:szCs w:val="21"/>
          <w:highlight w:val="none"/>
          <w:lang w:val="zh-CN"/>
        </w:rPr>
        <w:tab/>
      </w:r>
      <w:r>
        <w:rPr>
          <w:rFonts w:hint="eastAsia" w:hAnsi="宋体"/>
          <w:color w:val="auto"/>
          <w:kern w:val="2"/>
          <w:sz w:val="21"/>
          <w:szCs w:val="21"/>
          <w:highlight w:val="none"/>
          <w:lang w:val="zh-CN"/>
        </w:rPr>
        <w:t>合同条款格式</w:t>
      </w:r>
    </w:p>
    <w:p>
      <w:pPr>
        <w:tabs>
          <w:tab w:val="left" w:pos="1560"/>
        </w:tabs>
        <w:spacing w:line="360" w:lineRule="auto"/>
        <w:ind w:left="1890" w:hanging="1323"/>
        <w:jc w:val="both"/>
        <w:rPr>
          <w:rFonts w:hAnsi="宋体"/>
          <w:color w:val="auto"/>
          <w:kern w:val="2"/>
          <w:sz w:val="21"/>
          <w:szCs w:val="21"/>
          <w:highlight w:val="none"/>
          <w:lang w:val="zh-CN"/>
        </w:rPr>
      </w:pPr>
      <w:r>
        <w:rPr>
          <w:rFonts w:hint="eastAsia" w:hAnsi="宋体"/>
          <w:color w:val="auto"/>
          <w:kern w:val="2"/>
          <w:sz w:val="21"/>
          <w:szCs w:val="21"/>
          <w:highlight w:val="none"/>
          <w:lang w:val="zh-CN"/>
        </w:rPr>
        <w:t>第六篇</w:t>
      </w:r>
      <w:r>
        <w:rPr>
          <w:rFonts w:hAnsi="宋体"/>
          <w:color w:val="auto"/>
          <w:kern w:val="2"/>
          <w:sz w:val="21"/>
          <w:szCs w:val="21"/>
          <w:highlight w:val="none"/>
          <w:lang w:val="zh-CN"/>
        </w:rPr>
        <w:tab/>
      </w:r>
      <w:r>
        <w:rPr>
          <w:rFonts w:hint="eastAsia" w:hAnsi="宋体"/>
          <w:color w:val="auto"/>
          <w:kern w:val="2"/>
          <w:sz w:val="21"/>
          <w:szCs w:val="21"/>
          <w:highlight w:val="none"/>
          <w:lang w:val="zh-CN"/>
        </w:rPr>
        <w:t>响应文件格式</w:t>
      </w:r>
    </w:p>
    <w:p>
      <w:pPr>
        <w:tabs>
          <w:tab w:val="left" w:pos="567"/>
        </w:tabs>
        <w:spacing w:line="360" w:lineRule="auto"/>
        <w:ind w:left="567" w:hanging="567"/>
        <w:jc w:val="both"/>
        <w:rPr>
          <w:rFonts w:hAnsi="宋体"/>
          <w:bCs/>
          <w:color w:val="auto"/>
          <w:kern w:val="2"/>
          <w:sz w:val="21"/>
          <w:szCs w:val="21"/>
          <w:highlight w:val="none"/>
          <w:lang w:val="zh-CN"/>
        </w:rPr>
      </w:pPr>
      <w:r>
        <w:rPr>
          <w:rFonts w:hint="eastAsia" w:hAnsi="宋体"/>
          <w:bCs/>
          <w:color w:val="auto"/>
          <w:kern w:val="2"/>
          <w:sz w:val="21"/>
          <w:szCs w:val="21"/>
          <w:highlight w:val="none"/>
          <w:lang w:val="zh-CN"/>
        </w:rPr>
        <w:t>11</w:t>
      </w:r>
      <w:r>
        <w:rPr>
          <w:rFonts w:hAnsi="宋体"/>
          <w:bCs/>
          <w:color w:val="auto"/>
          <w:kern w:val="2"/>
          <w:sz w:val="21"/>
          <w:szCs w:val="21"/>
          <w:highlight w:val="none"/>
          <w:lang w:val="zh-CN"/>
        </w:rPr>
        <w:t>.2</w:t>
      </w:r>
      <w:r>
        <w:rPr>
          <w:rFonts w:hint="eastAsia" w:hAnsi="宋体"/>
          <w:bCs/>
          <w:color w:val="auto"/>
          <w:kern w:val="2"/>
          <w:sz w:val="21"/>
          <w:szCs w:val="21"/>
          <w:highlight w:val="none"/>
          <w:lang w:val="zh-CN"/>
        </w:rPr>
        <w:t xml:space="preserve"> 供应商应仔细阅读磋商文件的全部内容，按照磋商文件要求编制响应文件。任何对磋商文件的忽略或误解不能作为响应文件存在缺陷或瑕疵的理由，其风险由供应商承担。</w:t>
      </w:r>
    </w:p>
    <w:p>
      <w:pPr>
        <w:tabs>
          <w:tab w:val="left" w:pos="567"/>
        </w:tabs>
        <w:spacing w:line="360" w:lineRule="auto"/>
        <w:ind w:left="567" w:hanging="567"/>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12</w:t>
      </w:r>
      <w:r>
        <w:rPr>
          <w:rFonts w:hAnsi="宋体"/>
          <w:b/>
          <w:color w:val="auto"/>
          <w:kern w:val="2"/>
          <w:sz w:val="21"/>
          <w:szCs w:val="21"/>
          <w:highlight w:val="none"/>
          <w:lang w:val="zh-CN"/>
        </w:rPr>
        <w:tab/>
      </w:r>
      <w:r>
        <w:rPr>
          <w:rFonts w:hint="eastAsia" w:hAnsi="宋体"/>
          <w:b/>
          <w:color w:val="auto"/>
          <w:kern w:val="2"/>
          <w:sz w:val="21"/>
          <w:szCs w:val="21"/>
          <w:highlight w:val="none"/>
          <w:lang w:val="zh-CN"/>
        </w:rPr>
        <w:t>磋商文件的澄清或修改</w:t>
      </w:r>
    </w:p>
    <w:p>
      <w:pPr>
        <w:tabs>
          <w:tab w:val="left" w:pos="567"/>
        </w:tabs>
        <w:spacing w:line="360" w:lineRule="auto"/>
        <w:ind w:left="567" w:hanging="567"/>
        <w:jc w:val="both"/>
        <w:rPr>
          <w:rFonts w:hAnsi="宋体"/>
          <w:bCs/>
          <w:color w:val="auto"/>
          <w:kern w:val="2"/>
          <w:sz w:val="21"/>
          <w:szCs w:val="21"/>
          <w:highlight w:val="none"/>
          <w:lang w:val="zh-CN"/>
        </w:rPr>
      </w:pPr>
      <w:r>
        <w:rPr>
          <w:rFonts w:hint="eastAsia" w:hAnsi="宋体"/>
          <w:bCs/>
          <w:color w:val="auto"/>
          <w:kern w:val="2"/>
          <w:sz w:val="21"/>
          <w:szCs w:val="21"/>
          <w:highlight w:val="none"/>
          <w:lang w:val="zh-CN"/>
        </w:rPr>
        <w:t>12</w:t>
      </w:r>
      <w:r>
        <w:rPr>
          <w:rFonts w:hAnsi="宋体"/>
          <w:bCs/>
          <w:color w:val="auto"/>
          <w:kern w:val="2"/>
          <w:sz w:val="21"/>
          <w:szCs w:val="21"/>
          <w:highlight w:val="none"/>
          <w:lang w:val="zh-CN"/>
        </w:rPr>
        <w:t>.1</w:t>
      </w:r>
      <w:r>
        <w:rPr>
          <w:rFonts w:hAnsi="宋体"/>
          <w:bCs/>
          <w:color w:val="auto"/>
          <w:kern w:val="2"/>
          <w:sz w:val="21"/>
          <w:szCs w:val="21"/>
          <w:highlight w:val="none"/>
          <w:lang w:val="zh-CN"/>
        </w:rPr>
        <w:tab/>
      </w:r>
      <w:r>
        <w:rPr>
          <w:rFonts w:hint="eastAsia" w:hAnsi="宋体"/>
          <w:bCs/>
          <w:color w:val="auto"/>
          <w:kern w:val="2"/>
          <w:sz w:val="21"/>
          <w:szCs w:val="21"/>
          <w:highlight w:val="none"/>
          <w:lang w:val="zh-CN"/>
        </w:rPr>
        <w:t>采购人或者采购代理机构可以对已发出的磋商文件进行必要的澄清或者修改，但不得改变采购标的和资格条件。澄清或者修改将在</w:t>
      </w:r>
      <w:r>
        <w:rPr>
          <w:rFonts w:hint="eastAsia" w:hAnsi="宋体"/>
          <w:color w:val="auto"/>
          <w:kern w:val="2"/>
          <w:sz w:val="21"/>
          <w:szCs w:val="21"/>
          <w:highlight w:val="none"/>
          <w:lang w:val="zh-CN"/>
        </w:rPr>
        <w:t>《供应商须知前附表》规定的媒体上</w:t>
      </w:r>
      <w:r>
        <w:rPr>
          <w:rFonts w:hint="eastAsia" w:hAnsi="宋体"/>
          <w:bCs/>
          <w:color w:val="auto"/>
          <w:kern w:val="2"/>
          <w:sz w:val="21"/>
          <w:szCs w:val="21"/>
          <w:highlight w:val="none"/>
          <w:lang w:val="zh-CN"/>
        </w:rPr>
        <w:t>发布澄清公告。澄清或者修改的内容为磋商文件的组成部分。</w:t>
      </w:r>
    </w:p>
    <w:p>
      <w:pPr>
        <w:tabs>
          <w:tab w:val="left" w:pos="567"/>
        </w:tabs>
        <w:spacing w:line="360" w:lineRule="auto"/>
        <w:ind w:left="567" w:hanging="567"/>
        <w:jc w:val="both"/>
        <w:rPr>
          <w:rFonts w:hAnsi="宋体"/>
          <w:bCs/>
          <w:color w:val="auto"/>
          <w:kern w:val="2"/>
          <w:sz w:val="21"/>
          <w:szCs w:val="21"/>
          <w:highlight w:val="none"/>
          <w:lang w:val="zh-CN"/>
        </w:rPr>
      </w:pPr>
      <w:r>
        <w:rPr>
          <w:rFonts w:hint="eastAsia" w:hAnsi="宋体"/>
          <w:bCs/>
          <w:color w:val="auto"/>
          <w:kern w:val="2"/>
          <w:sz w:val="21"/>
          <w:szCs w:val="21"/>
          <w:highlight w:val="none"/>
          <w:lang w:val="zh-CN"/>
        </w:rPr>
        <w:t>12</w:t>
      </w:r>
      <w:r>
        <w:rPr>
          <w:rFonts w:hAnsi="宋体"/>
          <w:bCs/>
          <w:color w:val="auto"/>
          <w:kern w:val="2"/>
          <w:sz w:val="21"/>
          <w:szCs w:val="21"/>
          <w:highlight w:val="none"/>
          <w:lang w:val="zh-CN"/>
        </w:rPr>
        <w:t>.</w:t>
      </w:r>
      <w:r>
        <w:rPr>
          <w:rFonts w:hint="eastAsia" w:hAnsi="宋体"/>
          <w:bCs/>
          <w:color w:val="auto"/>
          <w:kern w:val="2"/>
          <w:sz w:val="21"/>
          <w:szCs w:val="21"/>
          <w:highlight w:val="none"/>
          <w:lang w:val="zh-CN"/>
        </w:rPr>
        <w:t>2</w:t>
      </w:r>
      <w:r>
        <w:rPr>
          <w:rFonts w:hAnsi="宋体"/>
          <w:bCs/>
          <w:color w:val="auto"/>
          <w:kern w:val="2"/>
          <w:sz w:val="21"/>
          <w:szCs w:val="21"/>
          <w:highlight w:val="none"/>
          <w:lang w:val="zh-CN"/>
        </w:rPr>
        <w:tab/>
      </w:r>
      <w:r>
        <w:rPr>
          <w:rFonts w:hint="eastAsia" w:hAnsi="宋体"/>
          <w:bCs/>
          <w:color w:val="auto"/>
          <w:kern w:val="2"/>
          <w:sz w:val="21"/>
          <w:szCs w:val="21"/>
          <w:highlight w:val="none"/>
          <w:lang w:val="zh-CN"/>
        </w:rPr>
        <w:t>澄清或者修改的内容可能影响响应文件编制的，采购人或者采购代理机构将在投标截止时间至少15日前，以书面形式通知所有获取磋商文件的潜在供应商；不足15日的，采购人或者采购代理机构将顺延提交响应文件的截止时间。</w:t>
      </w:r>
    </w:p>
    <w:p>
      <w:pPr>
        <w:tabs>
          <w:tab w:val="left" w:pos="567"/>
        </w:tabs>
        <w:spacing w:line="360" w:lineRule="auto"/>
        <w:ind w:left="567" w:hanging="567"/>
        <w:jc w:val="both"/>
        <w:rPr>
          <w:rFonts w:hAnsi="宋体"/>
          <w:bCs/>
          <w:color w:val="auto"/>
          <w:kern w:val="2"/>
          <w:sz w:val="21"/>
          <w:szCs w:val="21"/>
          <w:highlight w:val="none"/>
          <w:lang w:val="zh-CN"/>
        </w:rPr>
      </w:pPr>
      <w:r>
        <w:rPr>
          <w:rFonts w:hint="eastAsia" w:hAnsi="宋体"/>
          <w:bCs/>
          <w:color w:val="auto"/>
          <w:kern w:val="2"/>
          <w:sz w:val="21"/>
          <w:szCs w:val="21"/>
          <w:highlight w:val="none"/>
          <w:lang w:val="zh-CN"/>
        </w:rPr>
        <w:t>12</w:t>
      </w:r>
      <w:r>
        <w:rPr>
          <w:rFonts w:hAnsi="宋体"/>
          <w:bCs/>
          <w:color w:val="auto"/>
          <w:kern w:val="2"/>
          <w:sz w:val="21"/>
          <w:szCs w:val="21"/>
          <w:highlight w:val="none"/>
          <w:lang w:val="zh-CN"/>
        </w:rPr>
        <w:t>.</w:t>
      </w:r>
      <w:r>
        <w:rPr>
          <w:rFonts w:hint="eastAsia" w:hAnsi="宋体"/>
          <w:bCs/>
          <w:color w:val="auto"/>
          <w:kern w:val="2"/>
          <w:sz w:val="21"/>
          <w:szCs w:val="21"/>
          <w:highlight w:val="none"/>
          <w:lang w:val="zh-CN"/>
        </w:rPr>
        <w:t>3</w:t>
      </w:r>
      <w:r>
        <w:rPr>
          <w:rFonts w:hAnsi="宋体"/>
          <w:bCs/>
          <w:color w:val="auto"/>
          <w:kern w:val="2"/>
          <w:sz w:val="21"/>
          <w:szCs w:val="21"/>
          <w:highlight w:val="none"/>
          <w:lang w:val="zh-CN"/>
        </w:rPr>
        <w:tab/>
      </w:r>
      <w:r>
        <w:rPr>
          <w:rFonts w:hint="eastAsia" w:hAnsi="宋体"/>
          <w:bCs/>
          <w:color w:val="auto"/>
          <w:kern w:val="2"/>
          <w:sz w:val="21"/>
          <w:szCs w:val="21"/>
          <w:highlight w:val="none"/>
          <w:lang w:val="zh-CN"/>
        </w:rPr>
        <w:t>采购人或者采购代理机构可以视采购具体情况，延长投标截止时间和开标时间，但至少在招标要求提交响应文件的截止时间3日前，将更变时间书面通知所有磋商文件收受人，并在</w:t>
      </w:r>
      <w:r>
        <w:rPr>
          <w:rFonts w:hint="eastAsia" w:hAnsi="宋体"/>
          <w:color w:val="auto"/>
          <w:kern w:val="2"/>
          <w:sz w:val="21"/>
          <w:szCs w:val="21"/>
          <w:highlight w:val="none"/>
          <w:lang w:val="zh-CN"/>
        </w:rPr>
        <w:t>《供应商须知前附表》规定的媒体上</w:t>
      </w:r>
      <w:r>
        <w:rPr>
          <w:rFonts w:hint="eastAsia" w:hAnsi="宋体"/>
          <w:bCs/>
          <w:color w:val="auto"/>
          <w:kern w:val="2"/>
          <w:sz w:val="21"/>
          <w:szCs w:val="21"/>
          <w:highlight w:val="none"/>
          <w:lang w:val="zh-CN"/>
        </w:rPr>
        <w:t>发布变更公告。</w:t>
      </w:r>
    </w:p>
    <w:p>
      <w:pPr>
        <w:tabs>
          <w:tab w:val="left" w:pos="567"/>
        </w:tabs>
        <w:spacing w:line="360" w:lineRule="auto"/>
        <w:ind w:left="567" w:hanging="567"/>
        <w:jc w:val="both"/>
        <w:rPr>
          <w:rFonts w:hAnsi="宋体"/>
          <w:bCs/>
          <w:color w:val="auto"/>
          <w:kern w:val="2"/>
          <w:sz w:val="21"/>
          <w:szCs w:val="21"/>
          <w:highlight w:val="none"/>
          <w:lang w:val="zh-CN"/>
        </w:rPr>
      </w:pPr>
      <w:r>
        <w:rPr>
          <w:rFonts w:hint="eastAsia" w:hAnsi="宋体"/>
          <w:bCs/>
          <w:color w:val="auto"/>
          <w:kern w:val="2"/>
          <w:sz w:val="21"/>
          <w:szCs w:val="21"/>
          <w:highlight w:val="none"/>
          <w:lang w:val="zh-CN"/>
        </w:rPr>
        <w:t>12.4  磋商文件</w:t>
      </w:r>
      <w:r>
        <w:rPr>
          <w:rFonts w:hAnsi="宋体"/>
          <w:bCs/>
          <w:color w:val="auto"/>
          <w:kern w:val="2"/>
          <w:sz w:val="21"/>
          <w:szCs w:val="21"/>
          <w:highlight w:val="none"/>
          <w:lang w:val="zh-CN"/>
        </w:rPr>
        <w:t>的</w:t>
      </w:r>
      <w:r>
        <w:rPr>
          <w:rFonts w:hint="eastAsia" w:hAnsi="宋体"/>
          <w:bCs/>
          <w:color w:val="auto"/>
          <w:kern w:val="2"/>
          <w:sz w:val="21"/>
          <w:szCs w:val="21"/>
          <w:highlight w:val="none"/>
          <w:lang w:val="zh-CN"/>
        </w:rPr>
        <w:t>澄清或者修改</w:t>
      </w:r>
      <w:r>
        <w:rPr>
          <w:rFonts w:hAnsi="宋体"/>
          <w:bCs/>
          <w:color w:val="auto"/>
          <w:kern w:val="2"/>
          <w:sz w:val="21"/>
          <w:szCs w:val="21"/>
          <w:highlight w:val="none"/>
          <w:lang w:val="zh-CN"/>
        </w:rPr>
        <w:t>内容作为</w:t>
      </w:r>
      <w:r>
        <w:rPr>
          <w:rFonts w:hint="eastAsia" w:hAnsi="宋体"/>
          <w:bCs/>
          <w:color w:val="auto"/>
          <w:kern w:val="2"/>
          <w:sz w:val="21"/>
          <w:szCs w:val="21"/>
          <w:highlight w:val="none"/>
          <w:lang w:val="zh-CN"/>
        </w:rPr>
        <w:t>磋商文件</w:t>
      </w:r>
      <w:r>
        <w:rPr>
          <w:rFonts w:hAnsi="宋体"/>
          <w:bCs/>
          <w:color w:val="auto"/>
          <w:kern w:val="2"/>
          <w:sz w:val="21"/>
          <w:szCs w:val="21"/>
          <w:highlight w:val="none"/>
          <w:lang w:val="zh-CN"/>
        </w:rPr>
        <w:t>的组成部分</w:t>
      </w:r>
      <w:r>
        <w:rPr>
          <w:rFonts w:hint="eastAsia" w:hAnsi="宋体"/>
          <w:bCs/>
          <w:color w:val="auto"/>
          <w:kern w:val="2"/>
          <w:sz w:val="21"/>
          <w:szCs w:val="21"/>
          <w:highlight w:val="none"/>
          <w:lang w:val="zh-CN"/>
        </w:rPr>
        <w:t>，并对供应商具有约束力。</w:t>
      </w:r>
      <w:r>
        <w:rPr>
          <w:rFonts w:hAnsi="宋体"/>
          <w:bCs/>
          <w:color w:val="auto"/>
          <w:kern w:val="2"/>
          <w:sz w:val="21"/>
          <w:szCs w:val="21"/>
          <w:highlight w:val="none"/>
          <w:lang w:val="zh-CN"/>
        </w:rPr>
        <w:t>当</w:t>
      </w:r>
      <w:r>
        <w:rPr>
          <w:rFonts w:hint="eastAsia" w:hAnsi="宋体"/>
          <w:bCs/>
          <w:color w:val="auto"/>
          <w:kern w:val="2"/>
          <w:sz w:val="21"/>
          <w:szCs w:val="21"/>
          <w:highlight w:val="none"/>
          <w:lang w:val="zh-CN"/>
        </w:rPr>
        <w:t>磋商文件</w:t>
      </w:r>
      <w:r>
        <w:rPr>
          <w:rFonts w:hAnsi="宋体"/>
          <w:bCs/>
          <w:color w:val="auto"/>
          <w:kern w:val="2"/>
          <w:sz w:val="21"/>
          <w:szCs w:val="21"/>
          <w:highlight w:val="none"/>
          <w:lang w:val="zh-CN"/>
        </w:rPr>
        <w:t>、</w:t>
      </w:r>
      <w:r>
        <w:rPr>
          <w:rFonts w:hint="eastAsia" w:hAnsi="宋体"/>
          <w:bCs/>
          <w:color w:val="auto"/>
          <w:kern w:val="2"/>
          <w:sz w:val="21"/>
          <w:szCs w:val="21"/>
          <w:highlight w:val="none"/>
          <w:lang w:val="zh-CN"/>
        </w:rPr>
        <w:t>磋商文件</w:t>
      </w:r>
      <w:r>
        <w:rPr>
          <w:rFonts w:hAnsi="宋体"/>
          <w:bCs/>
          <w:color w:val="auto"/>
          <w:kern w:val="2"/>
          <w:sz w:val="21"/>
          <w:szCs w:val="21"/>
          <w:highlight w:val="none"/>
          <w:lang w:val="zh-CN"/>
        </w:rPr>
        <w:t>的澄清</w:t>
      </w:r>
      <w:r>
        <w:rPr>
          <w:rFonts w:hint="eastAsia" w:hAnsi="宋体"/>
          <w:bCs/>
          <w:color w:val="auto"/>
          <w:kern w:val="2"/>
          <w:sz w:val="21"/>
          <w:szCs w:val="21"/>
          <w:highlight w:val="none"/>
          <w:lang w:val="zh-CN"/>
        </w:rPr>
        <w:t>或</w:t>
      </w:r>
      <w:r>
        <w:rPr>
          <w:rFonts w:hAnsi="宋体"/>
          <w:bCs/>
          <w:color w:val="auto"/>
          <w:kern w:val="2"/>
          <w:sz w:val="21"/>
          <w:szCs w:val="21"/>
          <w:highlight w:val="none"/>
          <w:lang w:val="zh-CN"/>
        </w:rPr>
        <w:t>修改在同一内容的表述上不一致时，以最后发出的文件</w:t>
      </w:r>
      <w:r>
        <w:rPr>
          <w:rFonts w:hint="eastAsia" w:hAnsi="宋体"/>
          <w:bCs/>
          <w:color w:val="auto"/>
          <w:kern w:val="2"/>
          <w:sz w:val="21"/>
          <w:szCs w:val="21"/>
          <w:highlight w:val="none"/>
          <w:lang w:val="zh-CN"/>
        </w:rPr>
        <w:t>内容</w:t>
      </w:r>
      <w:r>
        <w:rPr>
          <w:rFonts w:hAnsi="宋体"/>
          <w:bCs/>
          <w:color w:val="auto"/>
          <w:kern w:val="2"/>
          <w:sz w:val="21"/>
          <w:szCs w:val="21"/>
          <w:highlight w:val="none"/>
          <w:lang w:val="zh-CN"/>
        </w:rPr>
        <w:t>为准</w:t>
      </w:r>
      <w:r>
        <w:rPr>
          <w:rFonts w:hint="eastAsia" w:hAnsi="宋体"/>
          <w:bCs/>
          <w:color w:val="auto"/>
          <w:kern w:val="2"/>
          <w:sz w:val="21"/>
          <w:szCs w:val="21"/>
          <w:highlight w:val="none"/>
          <w:lang w:val="zh-CN"/>
        </w:rPr>
        <w:t>。</w:t>
      </w:r>
    </w:p>
    <w:p>
      <w:pPr>
        <w:tabs>
          <w:tab w:val="left" w:pos="567"/>
        </w:tabs>
        <w:spacing w:line="360" w:lineRule="auto"/>
        <w:ind w:left="567" w:hanging="567"/>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13</w:t>
      </w:r>
      <w:r>
        <w:rPr>
          <w:rFonts w:hAnsi="宋体"/>
          <w:b/>
          <w:color w:val="auto"/>
          <w:kern w:val="2"/>
          <w:sz w:val="21"/>
          <w:szCs w:val="21"/>
          <w:highlight w:val="none"/>
          <w:lang w:val="zh-CN"/>
        </w:rPr>
        <w:tab/>
      </w:r>
      <w:r>
        <w:rPr>
          <w:rFonts w:hint="eastAsia" w:hAnsi="宋体"/>
          <w:b/>
          <w:color w:val="auto"/>
          <w:kern w:val="2"/>
          <w:sz w:val="21"/>
          <w:szCs w:val="21"/>
          <w:highlight w:val="none"/>
          <w:lang w:val="zh-CN"/>
        </w:rPr>
        <w:t>负偏离</w:t>
      </w:r>
    </w:p>
    <w:p>
      <w:pPr>
        <w:tabs>
          <w:tab w:val="left" w:pos="720"/>
          <w:tab w:val="left" w:pos="3460"/>
        </w:tabs>
        <w:spacing w:line="360" w:lineRule="auto"/>
        <w:ind w:left="525" w:hanging="525" w:hangingChars="250"/>
        <w:jc w:val="both"/>
        <w:rPr>
          <w:rFonts w:hAnsi="宋体"/>
          <w:color w:val="auto"/>
          <w:kern w:val="2"/>
          <w:sz w:val="21"/>
          <w:szCs w:val="21"/>
          <w:highlight w:val="none"/>
          <w:lang w:val="zh-CN"/>
        </w:rPr>
      </w:pPr>
      <w:r>
        <w:rPr>
          <w:rFonts w:hint="eastAsia" w:hAnsi="宋体"/>
          <w:color w:val="auto"/>
          <w:kern w:val="2"/>
          <w:sz w:val="21"/>
          <w:szCs w:val="21"/>
          <w:highlight w:val="none"/>
          <w:lang w:val="zh-CN"/>
        </w:rPr>
        <w:t xml:space="preserve">13.1 </w:t>
      </w:r>
      <w:r>
        <w:rPr>
          <w:rFonts w:hint="eastAsia" w:hAnsi="宋体"/>
          <w:bCs/>
          <w:color w:val="auto"/>
          <w:sz w:val="21"/>
          <w:szCs w:val="21"/>
          <w:highlight w:val="none"/>
        </w:rPr>
        <w:t>本条所称负</w:t>
      </w:r>
      <w:r>
        <w:rPr>
          <w:rFonts w:hint="eastAsia" w:hAnsi="宋体"/>
          <w:color w:val="auto"/>
          <w:sz w:val="21"/>
          <w:szCs w:val="21"/>
          <w:highlight w:val="none"/>
        </w:rPr>
        <w:t>偏离为不满足或不响应磋商文件条款要求。</w:t>
      </w:r>
    </w:p>
    <w:p>
      <w:pPr>
        <w:tabs>
          <w:tab w:val="left" w:pos="720"/>
          <w:tab w:val="left" w:pos="3460"/>
        </w:tabs>
        <w:spacing w:line="360" w:lineRule="auto"/>
        <w:ind w:left="525" w:hanging="525" w:hangingChars="250"/>
        <w:jc w:val="both"/>
        <w:rPr>
          <w:rFonts w:hAnsi="宋体"/>
          <w:color w:val="auto"/>
          <w:kern w:val="2"/>
          <w:sz w:val="21"/>
          <w:szCs w:val="21"/>
          <w:highlight w:val="none"/>
          <w:lang w:val="zh-CN"/>
        </w:rPr>
      </w:pPr>
      <w:r>
        <w:rPr>
          <w:rFonts w:hint="eastAsia" w:hAnsi="宋体"/>
          <w:color w:val="auto"/>
          <w:kern w:val="2"/>
          <w:sz w:val="21"/>
          <w:szCs w:val="21"/>
          <w:highlight w:val="none"/>
          <w:lang w:val="zh-CN"/>
        </w:rPr>
        <w:t>13.2 除法律、法规和规章规定外，磋商文件成交注“★”符号的条款为实质性要求条款（即重要条款），对其中任何一条的负偏离的，</w:t>
      </w:r>
      <w:r>
        <w:rPr>
          <w:rFonts w:hint="eastAsia" w:hAnsi="宋体"/>
          <w:b/>
          <w:color w:val="auto"/>
          <w:kern w:val="2"/>
          <w:sz w:val="21"/>
          <w:szCs w:val="21"/>
          <w:highlight w:val="none"/>
          <w:lang w:val="zh-CN"/>
        </w:rPr>
        <w:t>投标无效</w:t>
      </w:r>
      <w:r>
        <w:rPr>
          <w:rFonts w:hint="eastAsia" w:hAnsi="宋体"/>
          <w:color w:val="auto"/>
          <w:kern w:val="2"/>
          <w:sz w:val="21"/>
          <w:szCs w:val="21"/>
          <w:highlight w:val="none"/>
          <w:lang w:val="zh-CN"/>
        </w:rPr>
        <w:t>。</w:t>
      </w:r>
    </w:p>
    <w:p>
      <w:pPr>
        <w:tabs>
          <w:tab w:val="left" w:pos="720"/>
          <w:tab w:val="left" w:pos="3460"/>
        </w:tabs>
        <w:spacing w:line="360" w:lineRule="auto"/>
        <w:ind w:left="525" w:hanging="525" w:hangingChars="250"/>
        <w:jc w:val="both"/>
        <w:rPr>
          <w:rFonts w:hAnsi="宋体"/>
          <w:color w:val="auto"/>
          <w:kern w:val="2"/>
          <w:sz w:val="21"/>
          <w:szCs w:val="21"/>
          <w:highlight w:val="none"/>
          <w:lang w:val="zh-CN"/>
        </w:rPr>
      </w:pPr>
      <w:r>
        <w:rPr>
          <w:rFonts w:hint="eastAsia" w:hAnsi="宋体"/>
          <w:color w:val="auto"/>
          <w:kern w:val="2"/>
          <w:sz w:val="21"/>
          <w:szCs w:val="21"/>
          <w:highlight w:val="none"/>
          <w:lang w:val="zh-CN"/>
        </w:rPr>
        <w:t>13.3 磋商文件成交注“▲”的条款均为评审的重要评分指标，对其中任何一条的负偏离，将导致严重扣分。</w:t>
      </w:r>
    </w:p>
    <w:p>
      <w:pPr>
        <w:pStyle w:val="4"/>
        <w:spacing w:line="360" w:lineRule="auto"/>
        <w:rPr>
          <w:rFonts w:hAnsi="宋体"/>
          <w:b/>
          <w:bCs/>
          <w:color w:val="auto"/>
          <w:kern w:val="44"/>
          <w:sz w:val="21"/>
          <w:szCs w:val="21"/>
          <w:highlight w:val="none"/>
          <w:lang w:val="zh-CN"/>
        </w:rPr>
      </w:pPr>
      <w:bookmarkStart w:id="67" w:name="_Toc26248"/>
      <w:bookmarkStart w:id="68" w:name="_Toc396137235"/>
      <w:r>
        <w:rPr>
          <w:rFonts w:hint="eastAsia" w:hAnsi="宋体"/>
          <w:b/>
          <w:bCs/>
          <w:color w:val="auto"/>
          <w:kern w:val="44"/>
          <w:sz w:val="21"/>
          <w:szCs w:val="21"/>
          <w:highlight w:val="none"/>
          <w:lang w:val="zh-CN"/>
        </w:rPr>
        <w:t>（三）响应文件的编制</w:t>
      </w:r>
      <w:bookmarkEnd w:id="67"/>
      <w:bookmarkEnd w:id="68"/>
    </w:p>
    <w:p>
      <w:pPr>
        <w:tabs>
          <w:tab w:val="left" w:pos="567"/>
        </w:tabs>
        <w:spacing w:line="360" w:lineRule="auto"/>
        <w:ind w:left="567" w:hanging="567"/>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14</w:t>
      </w:r>
      <w:r>
        <w:rPr>
          <w:rFonts w:hAnsi="宋体"/>
          <w:b/>
          <w:color w:val="auto"/>
          <w:kern w:val="2"/>
          <w:sz w:val="21"/>
          <w:szCs w:val="21"/>
          <w:highlight w:val="none"/>
          <w:lang w:val="zh-CN"/>
        </w:rPr>
        <w:tab/>
      </w:r>
      <w:r>
        <w:rPr>
          <w:rFonts w:hint="eastAsia" w:hAnsi="宋体"/>
          <w:b/>
          <w:color w:val="auto"/>
          <w:kern w:val="2"/>
          <w:sz w:val="21"/>
          <w:szCs w:val="21"/>
          <w:highlight w:val="none"/>
          <w:lang w:val="zh-CN"/>
        </w:rPr>
        <w:t>投标语言和计量单位</w:t>
      </w:r>
    </w:p>
    <w:p>
      <w:pPr>
        <w:spacing w:line="360" w:lineRule="auto"/>
        <w:ind w:left="525" w:hanging="525" w:hangingChars="250"/>
        <w:jc w:val="both"/>
        <w:rPr>
          <w:rFonts w:hAnsi="宋体"/>
          <w:color w:val="auto"/>
          <w:kern w:val="2"/>
          <w:sz w:val="21"/>
          <w:szCs w:val="21"/>
          <w:highlight w:val="none"/>
          <w:lang w:val="zh-CN"/>
        </w:rPr>
      </w:pPr>
      <w:r>
        <w:rPr>
          <w:rFonts w:hint="eastAsia" w:hAnsi="宋体"/>
          <w:color w:val="auto"/>
          <w:kern w:val="2"/>
          <w:sz w:val="21"/>
          <w:szCs w:val="21"/>
          <w:highlight w:val="none"/>
          <w:lang w:val="zh-CN"/>
        </w:rPr>
        <w:t>14.1 除磋商文件另有规定外，响应文件应使用中文文本，若有不同文本，以中文文本为准。响应文件提供的全部资料中，若原件属于非中文描述，应提供具有翻译资质的机构翻译的中文译本。前述翻译机构应为中国翻译协会成员单位，翻译的中文译本应由翻译人员签名并加盖翻译机构公章，同时提供翻译人员翻译资格证书。中文译本、翻译机构的成员单位证书及翻译人员的资格证书可为复印件。</w:t>
      </w:r>
    </w:p>
    <w:p>
      <w:pPr>
        <w:spacing w:line="360" w:lineRule="auto"/>
        <w:ind w:left="525" w:hanging="525" w:hangingChars="250"/>
        <w:jc w:val="both"/>
        <w:rPr>
          <w:rFonts w:hAnsi="宋体"/>
          <w:color w:val="auto"/>
          <w:kern w:val="2"/>
          <w:sz w:val="21"/>
          <w:szCs w:val="21"/>
          <w:highlight w:val="none"/>
          <w:lang w:val="zh-CN"/>
        </w:rPr>
      </w:pPr>
      <w:r>
        <w:rPr>
          <w:rFonts w:hint="eastAsia" w:hAnsi="宋体"/>
          <w:color w:val="auto"/>
          <w:kern w:val="2"/>
          <w:sz w:val="21"/>
          <w:szCs w:val="21"/>
          <w:highlight w:val="none"/>
          <w:lang w:val="zh-CN"/>
        </w:rPr>
        <w:t>14.2 除非磋商文件的技术规格中另有规定，供应商在响应文件中及其与采购人和采购代理机构的所有往来文件中的计量单位均应采用中华人民共和国法定计量单位。</w:t>
      </w:r>
    </w:p>
    <w:p>
      <w:pPr>
        <w:spacing w:line="360" w:lineRule="auto"/>
        <w:ind w:left="525" w:hanging="525" w:hangingChars="250"/>
        <w:jc w:val="both"/>
        <w:rPr>
          <w:rFonts w:hAnsi="宋体"/>
          <w:color w:val="auto"/>
          <w:kern w:val="2"/>
          <w:sz w:val="21"/>
          <w:szCs w:val="21"/>
          <w:highlight w:val="none"/>
          <w:lang w:val="zh-CN"/>
        </w:rPr>
      </w:pPr>
      <w:r>
        <w:rPr>
          <w:rFonts w:hint="eastAsia" w:hAnsi="宋体"/>
          <w:color w:val="auto"/>
          <w:kern w:val="2"/>
          <w:sz w:val="21"/>
          <w:szCs w:val="21"/>
          <w:highlight w:val="none"/>
          <w:lang w:val="zh-CN"/>
        </w:rPr>
        <w:t>14.3 供应商所提供的货物和服务均应以人民币报价，货币单位：元。</w:t>
      </w:r>
    </w:p>
    <w:p>
      <w:pPr>
        <w:spacing w:line="360" w:lineRule="auto"/>
        <w:ind w:left="527" w:hanging="527" w:hangingChars="250"/>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15</w:t>
      </w:r>
      <w:r>
        <w:rPr>
          <w:rFonts w:hAnsi="宋体"/>
          <w:b/>
          <w:color w:val="auto"/>
          <w:kern w:val="2"/>
          <w:sz w:val="21"/>
          <w:szCs w:val="21"/>
          <w:highlight w:val="none"/>
          <w:lang w:val="zh-CN"/>
        </w:rPr>
        <w:tab/>
      </w:r>
      <w:r>
        <w:rPr>
          <w:rFonts w:hint="eastAsia" w:hAnsi="宋体"/>
          <w:b/>
          <w:color w:val="auto"/>
          <w:kern w:val="2"/>
          <w:sz w:val="21"/>
          <w:szCs w:val="21"/>
          <w:highlight w:val="none"/>
          <w:lang w:val="zh-CN"/>
        </w:rPr>
        <w:t>响应文件编制</w:t>
      </w:r>
    </w:p>
    <w:p>
      <w:pPr>
        <w:spacing w:line="360" w:lineRule="auto"/>
        <w:ind w:left="525" w:hanging="525" w:hangingChars="250"/>
        <w:jc w:val="both"/>
        <w:rPr>
          <w:rFonts w:hAnsi="宋体"/>
          <w:color w:val="auto"/>
          <w:kern w:val="2"/>
          <w:sz w:val="21"/>
          <w:szCs w:val="21"/>
          <w:highlight w:val="none"/>
          <w:lang w:val="zh-CN"/>
        </w:rPr>
      </w:pPr>
      <w:r>
        <w:rPr>
          <w:rFonts w:hint="eastAsia" w:hAnsi="宋体"/>
          <w:color w:val="auto"/>
          <w:kern w:val="2"/>
          <w:sz w:val="21"/>
          <w:szCs w:val="21"/>
          <w:highlight w:val="none"/>
          <w:lang w:val="zh-CN"/>
        </w:rPr>
        <w:t>15.1 响应文件中，所有内容均以纸质文件编制，其格式要求详见第六篇说明。</w:t>
      </w:r>
    </w:p>
    <w:p>
      <w:pPr>
        <w:spacing w:line="360" w:lineRule="auto"/>
        <w:ind w:left="525" w:hanging="525" w:hangingChars="250"/>
        <w:jc w:val="both"/>
        <w:rPr>
          <w:rFonts w:hAnsi="宋体"/>
          <w:color w:val="auto"/>
          <w:kern w:val="2"/>
          <w:sz w:val="21"/>
          <w:szCs w:val="21"/>
          <w:highlight w:val="none"/>
          <w:lang w:val="zh-CN"/>
        </w:rPr>
      </w:pPr>
      <w:r>
        <w:rPr>
          <w:rFonts w:hint="eastAsia" w:hAnsi="宋体"/>
          <w:color w:val="auto"/>
          <w:kern w:val="2"/>
          <w:sz w:val="21"/>
          <w:szCs w:val="21"/>
          <w:highlight w:val="none"/>
          <w:lang w:val="zh-CN"/>
        </w:rPr>
        <w:t>15.2 供应商所有响应文件不能进行压缩处理。关于磋商报价说明如下：</w:t>
      </w:r>
    </w:p>
    <w:p>
      <w:pPr>
        <w:tabs>
          <w:tab w:val="left" w:pos="567"/>
        </w:tabs>
        <w:spacing w:line="360" w:lineRule="auto"/>
        <w:ind w:left="480" w:left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1）供应商应按照“第二篇采购需求”的需求内容、责任范围以及合同条款进行报价。并按“首轮报价表”和“分项报价表”规定的格式报出总价和分项价格。磋商总价中不得包含磋商文件要求以外的内容，否则，在评审时不予核减。</w:t>
      </w:r>
    </w:p>
    <w:p>
      <w:pPr>
        <w:tabs>
          <w:tab w:val="left" w:pos="567"/>
        </w:tabs>
        <w:spacing w:line="360" w:lineRule="auto"/>
        <w:ind w:left="480" w:left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（2）磋商报价包括本项目采购需求和投入使用的所有费用，包括但不限于主件、标准附件、备品备件、施工、服务、专用工具、安装、调试、检验、培训、运输、保险、税款等。</w:t>
      </w:r>
    </w:p>
    <w:p>
      <w:pPr>
        <w:tabs>
          <w:tab w:val="left" w:pos="567"/>
        </w:tabs>
        <w:spacing w:line="360" w:lineRule="auto"/>
        <w:ind w:left="480" w:left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（3）磋商报价不得有选择性报价和附有条件的报价，否则将导致响应无效。</w:t>
      </w:r>
    </w:p>
    <w:p>
      <w:pPr>
        <w:spacing w:line="360" w:lineRule="auto"/>
        <w:ind w:left="525" w:hanging="525" w:hangingChars="250"/>
        <w:jc w:val="both"/>
        <w:rPr>
          <w:rFonts w:hAnsi="宋体"/>
          <w:color w:val="auto"/>
          <w:kern w:val="2"/>
          <w:sz w:val="21"/>
          <w:szCs w:val="21"/>
          <w:highlight w:val="none"/>
          <w:lang w:val="zh-CN"/>
        </w:rPr>
      </w:pPr>
      <w:r>
        <w:rPr>
          <w:rFonts w:hint="eastAsia" w:hAnsi="宋体"/>
          <w:color w:val="auto"/>
          <w:kern w:val="2"/>
          <w:sz w:val="21"/>
          <w:szCs w:val="21"/>
          <w:highlight w:val="none"/>
          <w:lang w:val="zh-CN"/>
        </w:rPr>
        <w:t>15.3 如有对多个采购包响应的，要对每个采购包独立制作响应文件。</w:t>
      </w:r>
    </w:p>
    <w:p>
      <w:pPr>
        <w:spacing w:line="360" w:lineRule="auto"/>
        <w:ind w:left="525" w:hanging="525" w:hangingChars="250"/>
        <w:jc w:val="both"/>
        <w:rPr>
          <w:rFonts w:hAnsi="宋体"/>
          <w:color w:val="auto"/>
          <w:kern w:val="2"/>
          <w:sz w:val="21"/>
          <w:szCs w:val="21"/>
          <w:highlight w:val="none"/>
          <w:lang w:val="zh-CN"/>
        </w:rPr>
      </w:pPr>
      <w:r>
        <w:rPr>
          <w:rFonts w:hint="eastAsia" w:hAnsi="宋体"/>
          <w:color w:val="auto"/>
          <w:kern w:val="2"/>
          <w:sz w:val="21"/>
          <w:szCs w:val="21"/>
          <w:highlight w:val="none"/>
          <w:lang w:val="zh-CN"/>
        </w:rPr>
        <w:t>15.4 供应商不得将同一个项目或同一个采购包的内容拆开响应，否则其报价将被视为非实质性响应。</w:t>
      </w:r>
    </w:p>
    <w:p>
      <w:pPr>
        <w:spacing w:line="360" w:lineRule="auto"/>
        <w:ind w:left="525" w:hanging="525" w:hangingChars="250"/>
        <w:jc w:val="both"/>
        <w:rPr>
          <w:rFonts w:hAnsi="宋体"/>
          <w:color w:val="auto"/>
          <w:kern w:val="2"/>
          <w:sz w:val="21"/>
          <w:szCs w:val="21"/>
          <w:highlight w:val="none"/>
          <w:lang w:val="zh-CN"/>
        </w:rPr>
      </w:pPr>
      <w:r>
        <w:rPr>
          <w:rFonts w:hint="eastAsia" w:hAnsi="宋体"/>
          <w:color w:val="auto"/>
          <w:kern w:val="2"/>
          <w:sz w:val="21"/>
          <w:szCs w:val="21"/>
          <w:highlight w:val="none"/>
          <w:lang w:val="zh-CN"/>
        </w:rPr>
        <w:t>15.5 供应商须对磋商文件的对应要求给予唯一的实质性响应，否则将视为不响应。</w:t>
      </w:r>
    </w:p>
    <w:p>
      <w:pPr>
        <w:spacing w:line="360" w:lineRule="auto"/>
        <w:ind w:left="525" w:hanging="525" w:hangingChars="250"/>
        <w:jc w:val="both"/>
        <w:rPr>
          <w:rFonts w:hAnsi="宋体"/>
          <w:color w:val="auto"/>
          <w:kern w:val="2"/>
          <w:sz w:val="21"/>
          <w:szCs w:val="21"/>
          <w:highlight w:val="none"/>
          <w:lang w:val="zh-CN"/>
        </w:rPr>
      </w:pPr>
      <w:r>
        <w:rPr>
          <w:rFonts w:hint="eastAsia" w:hAnsi="宋体"/>
          <w:color w:val="auto"/>
          <w:kern w:val="2"/>
          <w:sz w:val="21"/>
          <w:szCs w:val="21"/>
          <w:highlight w:val="none"/>
          <w:lang w:val="zh-CN"/>
        </w:rPr>
        <w:t>15.6 磋商文件中，凡标有“★”的地方均为实质性响应条款，供应商若有一项带“★”的条款未响应或不满足，将按无效响应处理。</w:t>
      </w:r>
    </w:p>
    <w:p>
      <w:pPr>
        <w:spacing w:line="360" w:lineRule="auto"/>
        <w:ind w:left="525" w:hanging="525" w:hangingChars="250"/>
        <w:jc w:val="both"/>
        <w:rPr>
          <w:rFonts w:hAnsi="宋体"/>
          <w:color w:val="auto"/>
          <w:kern w:val="2"/>
          <w:sz w:val="21"/>
          <w:szCs w:val="21"/>
          <w:highlight w:val="none"/>
          <w:lang w:val="zh-CN"/>
        </w:rPr>
      </w:pPr>
      <w:r>
        <w:rPr>
          <w:rFonts w:hint="eastAsia" w:hAnsi="宋体"/>
          <w:color w:val="auto"/>
          <w:kern w:val="2"/>
          <w:sz w:val="21"/>
          <w:szCs w:val="21"/>
          <w:highlight w:val="none"/>
          <w:lang w:val="zh-CN"/>
        </w:rPr>
        <w:t>15.7 供应商必须按磋商文件指定的格式填写各种报价，各报价应计算正确。除在磋商文件另有规定外（如：报折扣、报优惠率等），计量单位应使用中华人民共和国法定计量单位，以人民币填报所有报价。</w:t>
      </w:r>
    </w:p>
    <w:p>
      <w:pPr>
        <w:spacing w:line="360" w:lineRule="auto"/>
        <w:ind w:left="525" w:hanging="525" w:hangingChars="250"/>
        <w:jc w:val="both"/>
        <w:rPr>
          <w:rFonts w:hAnsi="宋体"/>
          <w:color w:val="auto"/>
          <w:kern w:val="2"/>
          <w:sz w:val="21"/>
          <w:szCs w:val="21"/>
          <w:highlight w:val="none"/>
          <w:lang w:val="zh-CN"/>
        </w:rPr>
      </w:pPr>
      <w:r>
        <w:rPr>
          <w:rFonts w:hint="eastAsia" w:hAnsi="宋体"/>
          <w:color w:val="auto"/>
          <w:kern w:val="2"/>
          <w:sz w:val="21"/>
          <w:szCs w:val="21"/>
          <w:highlight w:val="none"/>
          <w:lang w:val="zh-CN"/>
        </w:rPr>
        <w:t>15.8 响应文件以及供应商与采购人、代理机构就有关响应的往来函电均应使用中文。供应商提交的支持性文件和印制的文件可以用另一种语言，但相应内容应翻译成中文，在解释响应文件时以中文文本为准。</w:t>
      </w:r>
    </w:p>
    <w:p>
      <w:pPr>
        <w:spacing w:line="360" w:lineRule="auto"/>
        <w:ind w:left="525" w:hanging="525" w:hangingChars="250"/>
        <w:jc w:val="both"/>
        <w:rPr>
          <w:rFonts w:hAnsi="宋体"/>
          <w:color w:val="auto"/>
          <w:kern w:val="2"/>
          <w:sz w:val="21"/>
          <w:szCs w:val="21"/>
          <w:highlight w:val="none"/>
          <w:lang w:val="zh-CN"/>
        </w:rPr>
      </w:pPr>
      <w:r>
        <w:rPr>
          <w:rFonts w:hint="eastAsia" w:hAnsi="宋体"/>
          <w:color w:val="auto"/>
          <w:kern w:val="2"/>
          <w:sz w:val="21"/>
          <w:szCs w:val="21"/>
          <w:highlight w:val="none"/>
          <w:lang w:val="zh-CN"/>
        </w:rPr>
        <w:t>15.9 供应商应按磋商文件的规定及附件要求的内容和格式完整地填写和提供资料。供应商必须对响应文件所提供的全部资料的真实性承担法律责任，并无条件接受采购人和政府采购监督管理部门对其中任何资料进行核实（核对原件）的要求。采购人核对发现有不一致或供应商无正当理由不按时提供原件的，应当书面知会代理机构，并书面报告本级人民政府财政部门。</w:t>
      </w:r>
    </w:p>
    <w:p>
      <w:pPr>
        <w:tabs>
          <w:tab w:val="left" w:pos="567"/>
        </w:tabs>
        <w:spacing w:line="360" w:lineRule="auto"/>
        <w:ind w:left="567" w:hanging="567"/>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16</w:t>
      </w:r>
      <w:r>
        <w:rPr>
          <w:rFonts w:hAnsi="宋体"/>
          <w:b/>
          <w:color w:val="auto"/>
          <w:kern w:val="2"/>
          <w:sz w:val="21"/>
          <w:szCs w:val="21"/>
          <w:highlight w:val="none"/>
          <w:lang w:val="zh-CN"/>
        </w:rPr>
        <w:tab/>
      </w:r>
      <w:r>
        <w:rPr>
          <w:rFonts w:hint="eastAsia" w:hAnsi="宋体"/>
          <w:b/>
          <w:color w:val="auto"/>
          <w:kern w:val="2"/>
          <w:sz w:val="21"/>
          <w:szCs w:val="21"/>
          <w:highlight w:val="none"/>
          <w:lang w:val="zh-CN"/>
        </w:rPr>
        <w:t>响应文件的组成</w:t>
      </w:r>
    </w:p>
    <w:p>
      <w:pPr>
        <w:spacing w:line="360" w:lineRule="auto"/>
        <w:ind w:left="525" w:hanging="525" w:hangingChars="250"/>
        <w:jc w:val="both"/>
        <w:rPr>
          <w:rFonts w:hAnsi="宋体"/>
          <w:color w:val="auto"/>
          <w:kern w:val="2"/>
          <w:sz w:val="21"/>
          <w:szCs w:val="21"/>
          <w:highlight w:val="none"/>
          <w:lang w:val="zh-CN"/>
        </w:rPr>
      </w:pPr>
      <w:r>
        <w:rPr>
          <w:rFonts w:hint="eastAsia" w:hAnsi="宋体"/>
          <w:color w:val="auto"/>
          <w:kern w:val="2"/>
          <w:sz w:val="21"/>
          <w:szCs w:val="21"/>
          <w:highlight w:val="none"/>
          <w:lang w:val="zh-CN"/>
        </w:rPr>
        <w:t>16</w:t>
      </w:r>
      <w:r>
        <w:rPr>
          <w:rFonts w:hAnsi="宋体"/>
          <w:color w:val="auto"/>
          <w:kern w:val="2"/>
          <w:sz w:val="21"/>
          <w:szCs w:val="21"/>
          <w:highlight w:val="none"/>
          <w:lang w:val="zh-CN"/>
        </w:rPr>
        <w:t xml:space="preserve">.1 </w:t>
      </w:r>
      <w:r>
        <w:rPr>
          <w:rFonts w:hint="eastAsia" w:hAnsi="宋体"/>
          <w:color w:val="auto"/>
          <w:kern w:val="2"/>
          <w:sz w:val="21"/>
          <w:szCs w:val="21"/>
          <w:highlight w:val="none"/>
          <w:lang w:val="zh-CN"/>
        </w:rPr>
        <w:t>响应文件由资格证明文件、商务文件、技术文件组成（格式见第六篇响应文件格式），如</w:t>
      </w:r>
      <w:r>
        <w:rPr>
          <w:rFonts w:hAnsi="宋体"/>
          <w:color w:val="auto"/>
          <w:kern w:val="2"/>
          <w:sz w:val="21"/>
          <w:szCs w:val="21"/>
          <w:highlight w:val="none"/>
          <w:lang w:val="zh-CN"/>
        </w:rPr>
        <w:t>供应商同时投多个包</w:t>
      </w:r>
      <w:r>
        <w:rPr>
          <w:rFonts w:hint="eastAsia" w:hAnsi="宋体"/>
          <w:color w:val="auto"/>
          <w:kern w:val="2"/>
          <w:sz w:val="21"/>
          <w:szCs w:val="21"/>
          <w:highlight w:val="none"/>
          <w:lang w:val="zh-CN"/>
        </w:rPr>
        <w:t>组</w:t>
      </w:r>
      <w:r>
        <w:rPr>
          <w:rFonts w:hAnsi="宋体"/>
          <w:color w:val="auto"/>
          <w:kern w:val="2"/>
          <w:sz w:val="21"/>
          <w:szCs w:val="21"/>
          <w:highlight w:val="none"/>
          <w:lang w:val="zh-CN"/>
        </w:rPr>
        <w:t>，</w:t>
      </w:r>
      <w:r>
        <w:rPr>
          <w:rFonts w:hint="eastAsia" w:hAnsi="宋体"/>
          <w:color w:val="auto"/>
          <w:kern w:val="2"/>
          <w:sz w:val="21"/>
          <w:szCs w:val="21"/>
          <w:highlight w:val="none"/>
          <w:lang w:val="zh-CN"/>
        </w:rPr>
        <w:t>只需编制</w:t>
      </w:r>
      <w:r>
        <w:rPr>
          <w:rFonts w:hAnsi="宋体"/>
          <w:color w:val="auto"/>
          <w:kern w:val="2"/>
          <w:sz w:val="21"/>
          <w:szCs w:val="21"/>
          <w:highlight w:val="none"/>
          <w:lang w:val="zh-CN"/>
        </w:rPr>
        <w:t>一套响应文件</w:t>
      </w:r>
      <w:r>
        <w:rPr>
          <w:rFonts w:hint="eastAsia" w:hAnsi="宋体"/>
          <w:color w:val="auto"/>
          <w:kern w:val="2"/>
          <w:sz w:val="21"/>
          <w:szCs w:val="21"/>
          <w:highlight w:val="none"/>
          <w:lang w:val="zh-CN"/>
        </w:rPr>
        <w:t>。</w:t>
      </w:r>
    </w:p>
    <w:p>
      <w:pPr>
        <w:spacing w:line="360" w:lineRule="auto"/>
        <w:jc w:val="both"/>
        <w:rPr>
          <w:rFonts w:hAnsi="宋体"/>
          <w:color w:val="auto"/>
          <w:sz w:val="21"/>
          <w:szCs w:val="21"/>
          <w:highlight w:val="none"/>
        </w:rPr>
      </w:pPr>
      <w:r>
        <w:rPr>
          <w:rFonts w:hint="eastAsia" w:hAnsi="宋体"/>
          <w:color w:val="auto"/>
          <w:sz w:val="21"/>
          <w:szCs w:val="21"/>
          <w:highlight w:val="none"/>
        </w:rPr>
        <w:t>16.2 响应文件内容及题目的编排顺序和编号按第六篇</w:t>
      </w:r>
      <w:r>
        <w:rPr>
          <w:rFonts w:hint="eastAsia" w:hAnsi="宋体"/>
          <w:color w:val="auto"/>
          <w:sz w:val="21"/>
          <w:szCs w:val="21"/>
          <w:highlight w:val="none"/>
          <w:lang w:val="zh-CN"/>
        </w:rPr>
        <w:t>响应文件格式</w:t>
      </w:r>
      <w:r>
        <w:rPr>
          <w:rFonts w:hint="eastAsia" w:hAnsi="宋体"/>
          <w:color w:val="auto"/>
          <w:sz w:val="21"/>
          <w:szCs w:val="21"/>
          <w:highlight w:val="none"/>
        </w:rPr>
        <w:t>的要求。</w:t>
      </w:r>
    </w:p>
    <w:p>
      <w:pPr>
        <w:spacing w:line="360" w:lineRule="auto"/>
        <w:jc w:val="both"/>
        <w:rPr>
          <w:rFonts w:hAnsi="宋体"/>
          <w:color w:val="auto"/>
          <w:sz w:val="21"/>
          <w:szCs w:val="21"/>
          <w:highlight w:val="none"/>
        </w:rPr>
      </w:pPr>
      <w:r>
        <w:rPr>
          <w:rFonts w:hint="eastAsia" w:hAnsi="宋体"/>
          <w:color w:val="auto"/>
          <w:sz w:val="21"/>
          <w:szCs w:val="21"/>
          <w:highlight w:val="none"/>
        </w:rPr>
        <w:t>16.3 供应商无论成交与否，其响应文件不予退还。</w:t>
      </w:r>
    </w:p>
    <w:p>
      <w:pPr>
        <w:spacing w:line="360" w:lineRule="auto"/>
        <w:ind w:left="525" w:hanging="525" w:hangingChars="250"/>
        <w:jc w:val="both"/>
        <w:rPr>
          <w:rFonts w:hAnsi="宋体"/>
          <w:color w:val="auto"/>
          <w:kern w:val="2"/>
          <w:sz w:val="21"/>
          <w:szCs w:val="21"/>
          <w:highlight w:val="none"/>
          <w:lang w:val="zh-CN"/>
        </w:rPr>
      </w:pPr>
      <w:r>
        <w:rPr>
          <w:rFonts w:hint="eastAsia" w:hAnsi="宋体"/>
          <w:color w:val="auto"/>
          <w:kern w:val="2"/>
          <w:sz w:val="21"/>
          <w:szCs w:val="21"/>
          <w:highlight w:val="none"/>
          <w:lang w:val="zh-CN"/>
        </w:rPr>
        <w:t>16.4 供应商如有投标优惠，涉及价格的，应当直接在首次报价表的投标报价中给出(即投标报价中己包含价格折扣)；涉及商务、技术内容的，应当在商务条款响应/偏离表或技术规格、参数响应/偏离表中填写。</w:t>
      </w:r>
    </w:p>
    <w:p>
      <w:pPr>
        <w:spacing w:line="360" w:lineRule="auto"/>
        <w:ind w:left="525" w:hanging="525" w:hangingChars="250"/>
        <w:jc w:val="both"/>
        <w:rPr>
          <w:rFonts w:hAnsi="宋体"/>
          <w:color w:val="auto"/>
          <w:kern w:val="2"/>
          <w:sz w:val="21"/>
          <w:szCs w:val="21"/>
          <w:highlight w:val="none"/>
          <w:lang w:val="zh-CN"/>
        </w:rPr>
      </w:pPr>
      <w:r>
        <w:rPr>
          <w:rFonts w:hint="eastAsia" w:hAnsi="宋体"/>
          <w:color w:val="auto"/>
          <w:kern w:val="2"/>
          <w:sz w:val="21"/>
          <w:szCs w:val="21"/>
          <w:highlight w:val="none"/>
          <w:lang w:val="zh-CN"/>
        </w:rPr>
        <w:t>16.5 供应商根据磋商文件的规定和采购项目的实际情况，拟在成交后将成交项目的非主体、非关键性工作分包的，应当在响应文件中载明分包承担主体，分包承担主体应当具备相应资质条件且不得再次分包。</w:t>
      </w:r>
    </w:p>
    <w:p>
      <w:pPr>
        <w:tabs>
          <w:tab w:val="left" w:pos="567"/>
        </w:tabs>
        <w:spacing w:line="360" w:lineRule="auto"/>
        <w:ind w:left="567" w:hanging="567"/>
        <w:jc w:val="both"/>
        <w:rPr>
          <w:rFonts w:hAnsi="宋体"/>
          <w:b/>
          <w:color w:val="auto"/>
          <w:kern w:val="2"/>
          <w:sz w:val="21"/>
          <w:szCs w:val="21"/>
          <w:highlight w:val="none"/>
          <w:lang w:val="zh-CN"/>
        </w:rPr>
      </w:pPr>
      <w:r>
        <w:rPr>
          <w:rFonts w:hAnsi="宋体"/>
          <w:b/>
          <w:color w:val="auto"/>
          <w:kern w:val="2"/>
          <w:sz w:val="21"/>
          <w:szCs w:val="21"/>
          <w:highlight w:val="none"/>
          <w:lang w:val="zh-CN"/>
        </w:rPr>
        <w:t>1</w:t>
      </w:r>
      <w:r>
        <w:rPr>
          <w:rFonts w:hint="eastAsia" w:hAnsi="宋体"/>
          <w:b/>
          <w:color w:val="auto"/>
          <w:kern w:val="2"/>
          <w:sz w:val="21"/>
          <w:szCs w:val="21"/>
          <w:highlight w:val="none"/>
          <w:lang w:val="zh-CN"/>
        </w:rPr>
        <w:t>7</w:t>
      </w:r>
      <w:r>
        <w:rPr>
          <w:rFonts w:hAnsi="宋体"/>
          <w:b/>
          <w:color w:val="auto"/>
          <w:kern w:val="2"/>
          <w:sz w:val="21"/>
          <w:szCs w:val="21"/>
          <w:highlight w:val="none"/>
          <w:lang w:val="zh-CN"/>
        </w:rPr>
        <w:tab/>
      </w:r>
      <w:r>
        <w:rPr>
          <w:rFonts w:hint="eastAsia" w:hAnsi="宋体"/>
          <w:b/>
          <w:color w:val="auto"/>
          <w:kern w:val="2"/>
          <w:sz w:val="21"/>
          <w:szCs w:val="21"/>
          <w:highlight w:val="none"/>
          <w:lang w:val="zh-CN"/>
        </w:rPr>
        <w:t>投标报价</w:t>
      </w:r>
    </w:p>
    <w:p>
      <w:pPr>
        <w:spacing w:line="360" w:lineRule="auto"/>
        <w:ind w:left="525" w:hanging="525" w:hangingChars="250"/>
        <w:jc w:val="both"/>
        <w:rPr>
          <w:rFonts w:hAnsi="宋体"/>
          <w:color w:val="auto"/>
          <w:kern w:val="2"/>
          <w:sz w:val="21"/>
          <w:szCs w:val="21"/>
          <w:highlight w:val="none"/>
          <w:lang w:val="zh-CN"/>
        </w:rPr>
      </w:pPr>
      <w:r>
        <w:rPr>
          <w:rFonts w:hint="eastAsia" w:hAnsi="宋体"/>
          <w:color w:val="auto"/>
          <w:kern w:val="2"/>
          <w:sz w:val="21"/>
          <w:szCs w:val="21"/>
          <w:highlight w:val="none"/>
          <w:lang w:val="zh-CN"/>
        </w:rPr>
        <w:t>17.1 供应商应按磋商文件规定的供货及服务要求、责任范围和合同条件，以人民币进行报价。</w:t>
      </w:r>
    </w:p>
    <w:p>
      <w:pPr>
        <w:spacing w:line="360" w:lineRule="auto"/>
        <w:ind w:left="525" w:hanging="525" w:hangingChars="250"/>
        <w:jc w:val="both"/>
        <w:rPr>
          <w:rFonts w:hAnsi="宋体"/>
          <w:color w:val="auto"/>
          <w:kern w:val="2"/>
          <w:sz w:val="21"/>
          <w:szCs w:val="21"/>
          <w:highlight w:val="none"/>
          <w:lang w:val="zh-CN"/>
        </w:rPr>
      </w:pPr>
      <w:r>
        <w:rPr>
          <w:rFonts w:hint="eastAsia" w:hAnsi="宋体"/>
          <w:color w:val="auto"/>
          <w:kern w:val="2"/>
          <w:sz w:val="21"/>
          <w:szCs w:val="21"/>
          <w:highlight w:val="none"/>
          <w:lang w:val="zh-CN"/>
        </w:rPr>
        <w:t>17.2 供应商应按首次报价表和分项报价明细表的内容和格式要求填写各项货物及服务的分项价格和总价。投标总价中不得包含磋商文件要求以外的内容，否则，在评标时不予核减。</w:t>
      </w:r>
    </w:p>
    <w:p>
      <w:pPr>
        <w:spacing w:line="360" w:lineRule="auto"/>
        <w:ind w:left="525" w:hanging="525" w:hangingChars="250"/>
        <w:jc w:val="both"/>
        <w:rPr>
          <w:rFonts w:hAnsi="宋体"/>
          <w:color w:val="auto"/>
          <w:kern w:val="2"/>
          <w:sz w:val="21"/>
          <w:szCs w:val="21"/>
          <w:highlight w:val="none"/>
          <w:lang w:val="zh-CN"/>
        </w:rPr>
      </w:pPr>
      <w:r>
        <w:rPr>
          <w:rFonts w:hint="eastAsia" w:hAnsi="宋体"/>
          <w:color w:val="auto"/>
          <w:kern w:val="2"/>
          <w:sz w:val="21"/>
          <w:szCs w:val="21"/>
          <w:highlight w:val="none"/>
          <w:lang w:val="zh-CN"/>
        </w:rPr>
        <w:t>17.3</w:t>
      </w:r>
      <w:r>
        <w:rPr>
          <w:rFonts w:hAnsi="宋体"/>
          <w:color w:val="auto"/>
          <w:kern w:val="2"/>
          <w:sz w:val="21"/>
          <w:szCs w:val="21"/>
          <w:highlight w:val="none"/>
          <w:lang w:val="zh-CN"/>
        </w:rPr>
        <w:t xml:space="preserve"> </w:t>
      </w:r>
      <w:r>
        <w:rPr>
          <w:rFonts w:hint="eastAsia" w:hAnsi="宋体"/>
          <w:color w:val="auto"/>
          <w:kern w:val="2"/>
          <w:sz w:val="21"/>
          <w:szCs w:val="21"/>
          <w:highlight w:val="none"/>
          <w:lang w:val="zh-CN"/>
        </w:rPr>
        <w:t>投标总价中不得缺漏磋商文件所要求的内容，不得包含价格调整要求和条件，对每项服务只允许有一个报价，不接受选择性报价。否则，</w:t>
      </w:r>
      <w:r>
        <w:rPr>
          <w:rFonts w:hint="eastAsia" w:hAnsi="宋体"/>
          <w:b/>
          <w:color w:val="auto"/>
          <w:kern w:val="2"/>
          <w:sz w:val="21"/>
          <w:szCs w:val="21"/>
          <w:highlight w:val="none"/>
          <w:lang w:val="zh-CN"/>
        </w:rPr>
        <w:t>投标无效</w:t>
      </w:r>
      <w:r>
        <w:rPr>
          <w:rFonts w:hint="eastAsia" w:hAnsi="宋体"/>
          <w:color w:val="auto"/>
          <w:kern w:val="2"/>
          <w:sz w:val="21"/>
          <w:szCs w:val="21"/>
          <w:highlight w:val="none"/>
          <w:lang w:val="zh-CN"/>
        </w:rPr>
        <w:t>。</w:t>
      </w:r>
    </w:p>
    <w:p>
      <w:pPr>
        <w:spacing w:line="360" w:lineRule="auto"/>
        <w:ind w:left="525" w:hanging="525" w:hangingChars="250"/>
        <w:jc w:val="both"/>
        <w:rPr>
          <w:rFonts w:hAnsi="宋体"/>
          <w:color w:val="auto"/>
          <w:kern w:val="2"/>
          <w:sz w:val="21"/>
          <w:szCs w:val="21"/>
          <w:highlight w:val="none"/>
          <w:lang w:val="zh-CN"/>
        </w:rPr>
      </w:pPr>
      <w:r>
        <w:rPr>
          <w:rFonts w:hint="eastAsia" w:hAnsi="宋体"/>
          <w:color w:val="auto"/>
          <w:kern w:val="2"/>
          <w:sz w:val="21"/>
          <w:szCs w:val="21"/>
          <w:highlight w:val="none"/>
          <w:lang w:val="zh-CN"/>
        </w:rPr>
        <w:t>17.4</w:t>
      </w:r>
      <w:r>
        <w:rPr>
          <w:rFonts w:hAnsi="宋体"/>
          <w:color w:val="auto"/>
          <w:kern w:val="2"/>
          <w:sz w:val="21"/>
          <w:szCs w:val="21"/>
          <w:highlight w:val="none"/>
          <w:lang w:val="zh-CN"/>
        </w:rPr>
        <w:t xml:space="preserve"> </w:t>
      </w:r>
      <w:r>
        <w:rPr>
          <w:rFonts w:hint="eastAsia" w:hAnsi="宋体"/>
          <w:color w:val="auto"/>
          <w:kern w:val="2"/>
          <w:sz w:val="21"/>
          <w:szCs w:val="21"/>
          <w:highlight w:val="none"/>
          <w:lang w:val="zh-CN"/>
        </w:rPr>
        <w:t>投标报价高于采购预算或最高限价的，</w:t>
      </w:r>
      <w:r>
        <w:rPr>
          <w:rFonts w:hint="eastAsia" w:hAnsi="宋体"/>
          <w:b/>
          <w:color w:val="auto"/>
          <w:kern w:val="2"/>
          <w:sz w:val="21"/>
          <w:szCs w:val="21"/>
          <w:highlight w:val="none"/>
          <w:lang w:val="zh-CN"/>
        </w:rPr>
        <w:t>投标无效</w:t>
      </w:r>
      <w:r>
        <w:rPr>
          <w:rFonts w:hint="eastAsia" w:hAnsi="宋体"/>
          <w:color w:val="auto"/>
          <w:kern w:val="2"/>
          <w:sz w:val="21"/>
          <w:szCs w:val="21"/>
          <w:highlight w:val="none"/>
          <w:lang w:val="zh-CN"/>
        </w:rPr>
        <w:t>。</w:t>
      </w:r>
    </w:p>
    <w:p>
      <w:pPr>
        <w:spacing w:line="360" w:lineRule="auto"/>
        <w:ind w:left="525" w:hanging="525" w:hangingChars="250"/>
        <w:jc w:val="both"/>
        <w:rPr>
          <w:rFonts w:hAnsi="宋体"/>
          <w:color w:val="auto"/>
          <w:kern w:val="2"/>
          <w:sz w:val="21"/>
          <w:szCs w:val="21"/>
          <w:highlight w:val="none"/>
          <w:lang w:val="zh-CN"/>
        </w:rPr>
      </w:pPr>
      <w:r>
        <w:rPr>
          <w:rFonts w:hint="eastAsia" w:hAnsi="宋体"/>
          <w:color w:val="auto"/>
          <w:kern w:val="2"/>
          <w:sz w:val="21"/>
          <w:szCs w:val="21"/>
          <w:highlight w:val="none"/>
          <w:lang w:val="zh-CN"/>
        </w:rPr>
        <w:t>17.5 供应商如有价格优惠的，应当直接在首次报价表的投标报价中给出(即投标报价中己包含价格折扣)。</w:t>
      </w:r>
    </w:p>
    <w:p>
      <w:pPr>
        <w:spacing w:line="360" w:lineRule="auto"/>
        <w:ind w:left="525" w:hanging="525" w:hangingChars="250"/>
        <w:jc w:val="both"/>
        <w:rPr>
          <w:rFonts w:hAnsi="宋体"/>
          <w:color w:val="auto"/>
          <w:kern w:val="2"/>
          <w:sz w:val="21"/>
          <w:szCs w:val="21"/>
          <w:highlight w:val="none"/>
          <w:lang w:val="zh-CN"/>
        </w:rPr>
      </w:pPr>
      <w:r>
        <w:rPr>
          <w:rFonts w:hint="eastAsia" w:hAnsi="宋体"/>
          <w:color w:val="auto"/>
          <w:kern w:val="2"/>
          <w:sz w:val="21"/>
          <w:szCs w:val="21"/>
          <w:highlight w:val="none"/>
          <w:lang w:val="zh-CN"/>
        </w:rPr>
        <w:t>17.6 供应商必须保证，采购人在中华人民共和国境内使用投标货物、资料、技术、服务或其任何一部分时，享有不受限制的无偿使用权，不会产生因第三方提出侵犯其专利权、商标权或其它知识产权而引起的法律或经济纠纷。如供应商不拥有相应的知识产权，则在投标报价中必须包括合法获取该知识产权的一切相关费用。</w:t>
      </w:r>
    </w:p>
    <w:p>
      <w:pPr>
        <w:tabs>
          <w:tab w:val="left" w:pos="567"/>
        </w:tabs>
        <w:spacing w:line="360" w:lineRule="auto"/>
        <w:ind w:left="567" w:hanging="567"/>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18</w:t>
      </w:r>
      <w:r>
        <w:rPr>
          <w:rFonts w:hAnsi="宋体"/>
          <w:b/>
          <w:color w:val="auto"/>
          <w:kern w:val="2"/>
          <w:sz w:val="21"/>
          <w:szCs w:val="21"/>
          <w:highlight w:val="none"/>
          <w:lang w:val="zh-CN"/>
        </w:rPr>
        <w:tab/>
      </w:r>
      <w:r>
        <w:rPr>
          <w:rFonts w:hint="eastAsia" w:hAnsi="宋体"/>
          <w:b/>
          <w:color w:val="auto"/>
          <w:kern w:val="2"/>
          <w:sz w:val="21"/>
          <w:szCs w:val="21"/>
          <w:highlight w:val="none"/>
          <w:lang w:val="zh-CN"/>
        </w:rPr>
        <w:t>供应商的资格证明文件</w:t>
      </w:r>
    </w:p>
    <w:p>
      <w:pPr>
        <w:tabs>
          <w:tab w:val="left" w:pos="567"/>
        </w:tabs>
        <w:spacing w:line="360" w:lineRule="auto"/>
        <w:ind w:left="567"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18.1 供应商应提交满足本篇第4.1款规定的资格条件要求的证明文件,该证明文件作为响应文件的一部分。</w:t>
      </w:r>
    </w:p>
    <w:p>
      <w:pPr>
        <w:tabs>
          <w:tab w:val="left" w:pos="567"/>
        </w:tabs>
        <w:spacing w:line="360" w:lineRule="auto"/>
        <w:ind w:left="567"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18.2 如果供应商为联合体，则应提交联合体各方资格证明文件、联合体协议。否则，</w:t>
      </w:r>
      <w:r>
        <w:rPr>
          <w:rFonts w:hint="eastAsia" w:hAnsi="宋体"/>
          <w:b/>
          <w:color w:val="auto"/>
          <w:kern w:val="2"/>
          <w:sz w:val="21"/>
          <w:szCs w:val="21"/>
          <w:highlight w:val="none"/>
          <w:lang w:val="zh-CN"/>
        </w:rPr>
        <w:t>投标无效</w:t>
      </w:r>
      <w:r>
        <w:rPr>
          <w:rFonts w:hint="eastAsia" w:hAnsi="宋体"/>
          <w:color w:val="auto"/>
          <w:kern w:val="2"/>
          <w:sz w:val="21"/>
          <w:szCs w:val="21"/>
          <w:highlight w:val="none"/>
          <w:lang w:val="zh-CN"/>
        </w:rPr>
        <w:t>。</w:t>
      </w:r>
    </w:p>
    <w:p>
      <w:pPr>
        <w:tabs>
          <w:tab w:val="left" w:pos="567"/>
        </w:tabs>
        <w:spacing w:line="360" w:lineRule="auto"/>
        <w:ind w:left="567" w:hanging="567"/>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19</w:t>
      </w:r>
      <w:r>
        <w:rPr>
          <w:rFonts w:hAnsi="宋体"/>
          <w:b/>
          <w:color w:val="auto"/>
          <w:kern w:val="2"/>
          <w:sz w:val="21"/>
          <w:szCs w:val="21"/>
          <w:highlight w:val="none"/>
          <w:lang w:val="zh-CN"/>
        </w:rPr>
        <w:tab/>
      </w:r>
      <w:r>
        <w:rPr>
          <w:rFonts w:hint="eastAsia" w:hAnsi="宋体"/>
          <w:b/>
          <w:color w:val="auto"/>
          <w:kern w:val="2"/>
          <w:sz w:val="21"/>
          <w:szCs w:val="21"/>
          <w:highlight w:val="none"/>
          <w:lang w:val="zh-CN"/>
        </w:rPr>
        <w:t>投标货物符合磋商文件规定的证明文件</w:t>
      </w:r>
    </w:p>
    <w:p>
      <w:pPr>
        <w:tabs>
          <w:tab w:val="left" w:pos="567"/>
        </w:tabs>
        <w:spacing w:line="360" w:lineRule="auto"/>
        <w:ind w:left="567"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19.1 供应商应当提交其拟供的合同项下货物及其服务符合磋商文件规定的证明文件,该证明文件作为响应文件的一部分。</w:t>
      </w:r>
    </w:p>
    <w:p>
      <w:pPr>
        <w:tabs>
          <w:tab w:val="left" w:pos="567"/>
        </w:tabs>
        <w:spacing w:line="360" w:lineRule="auto"/>
        <w:ind w:left="567"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19.2 供应商在货物说明一览表中应当说明货物的品牌型号、规格参数、制造商及原产地等，交货时应出具原产地证明及出厂合格证明。</w:t>
      </w:r>
    </w:p>
    <w:p>
      <w:pPr>
        <w:tabs>
          <w:tab w:val="left" w:pos="567"/>
        </w:tabs>
        <w:spacing w:line="360" w:lineRule="auto"/>
        <w:ind w:left="567"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19.3 上述证明文件可以是文字资料、图纸和数据，并须提供：</w:t>
      </w:r>
    </w:p>
    <w:p>
      <w:pPr>
        <w:tabs>
          <w:tab w:val="left" w:pos="567"/>
        </w:tabs>
        <w:spacing w:line="360" w:lineRule="auto"/>
        <w:ind w:left="120" w:leftChars="50" w:right="18" w:firstLine="315" w:firstLineChars="150"/>
        <w:jc w:val="both"/>
        <w:rPr>
          <w:rFonts w:hAnsi="宋体"/>
          <w:color w:val="auto"/>
          <w:kern w:val="2"/>
          <w:sz w:val="21"/>
          <w:szCs w:val="21"/>
          <w:highlight w:val="none"/>
          <w:lang w:val="zh-CN"/>
        </w:rPr>
      </w:pPr>
      <w:r>
        <w:rPr>
          <w:rFonts w:hint="eastAsia" w:hAnsi="宋体"/>
          <w:color w:val="auto"/>
          <w:kern w:val="2"/>
          <w:sz w:val="21"/>
          <w:szCs w:val="21"/>
          <w:highlight w:val="none"/>
          <w:lang w:val="zh-CN"/>
        </w:rPr>
        <w:t xml:space="preserve">（1）货物主要性能和参数的详细说明； </w:t>
      </w:r>
    </w:p>
    <w:p>
      <w:pPr>
        <w:tabs>
          <w:tab w:val="left" w:pos="567"/>
        </w:tabs>
        <w:spacing w:line="360" w:lineRule="auto"/>
        <w:ind w:left="425" w:leftChars="177" w:right="18"/>
        <w:jc w:val="both"/>
        <w:rPr>
          <w:rFonts w:hAnsi="宋体"/>
          <w:color w:val="auto"/>
          <w:kern w:val="2"/>
          <w:sz w:val="21"/>
          <w:szCs w:val="21"/>
          <w:highlight w:val="none"/>
          <w:lang w:val="zh-CN"/>
        </w:rPr>
      </w:pPr>
      <w:r>
        <w:rPr>
          <w:rFonts w:hint="eastAsia" w:hAnsi="宋体"/>
          <w:color w:val="auto"/>
          <w:kern w:val="2"/>
          <w:sz w:val="21"/>
          <w:szCs w:val="21"/>
          <w:highlight w:val="none"/>
          <w:lang w:val="zh-CN"/>
        </w:rPr>
        <w:t>（2）对照磋商文件技术规格，逐条说明所提供货物和服务对磋商文件的技术规格条文的响应与偏离。对有具体参数要求的指标，供应商应提供具体参数值。</w:t>
      </w:r>
    </w:p>
    <w:p>
      <w:pPr>
        <w:tabs>
          <w:tab w:val="left" w:pos="567"/>
        </w:tabs>
        <w:spacing w:line="360" w:lineRule="auto"/>
        <w:ind w:left="567" w:hanging="567"/>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20</w:t>
      </w:r>
      <w:r>
        <w:rPr>
          <w:rFonts w:hAnsi="宋体"/>
          <w:b/>
          <w:color w:val="auto"/>
          <w:kern w:val="2"/>
          <w:sz w:val="21"/>
          <w:szCs w:val="21"/>
          <w:highlight w:val="none"/>
          <w:lang w:val="zh-CN"/>
        </w:rPr>
        <w:tab/>
      </w:r>
      <w:r>
        <w:rPr>
          <w:rFonts w:hint="eastAsia" w:hAnsi="宋体"/>
          <w:b/>
          <w:color w:val="auto"/>
          <w:kern w:val="2"/>
          <w:sz w:val="21"/>
          <w:szCs w:val="21"/>
          <w:highlight w:val="none"/>
          <w:lang w:val="zh-CN"/>
        </w:rPr>
        <w:t>投标保证金</w:t>
      </w:r>
    </w:p>
    <w:p>
      <w:pPr>
        <w:tabs>
          <w:tab w:val="left" w:pos="567"/>
        </w:tabs>
        <w:spacing w:line="360" w:lineRule="auto"/>
        <w:ind w:left="567" w:hanging="567"/>
        <w:rPr>
          <w:rFonts w:hAnsi="宋体"/>
          <w:bCs/>
          <w:color w:val="auto"/>
          <w:kern w:val="2"/>
          <w:sz w:val="21"/>
          <w:szCs w:val="21"/>
          <w:highlight w:val="none"/>
          <w:lang w:val="zh-CN"/>
        </w:rPr>
      </w:pPr>
      <w:r>
        <w:rPr>
          <w:rFonts w:hint="eastAsia" w:hAnsi="宋体"/>
          <w:bCs/>
          <w:color w:val="auto"/>
          <w:kern w:val="2"/>
          <w:sz w:val="21"/>
          <w:szCs w:val="21"/>
          <w:highlight w:val="none"/>
          <w:lang w:val="zh-CN"/>
        </w:rPr>
        <w:t>20.1 供应商在提交响应文件时，应按《供应商须知前附表》规定的金额和缴纳要求缴纳投标保证金，并作为其响应文件的组成部分。</w:t>
      </w:r>
      <w:r>
        <w:rPr>
          <w:rFonts w:hint="eastAsia" w:hAnsi="宋体"/>
          <w:color w:val="auto"/>
          <w:sz w:val="21"/>
          <w:szCs w:val="21"/>
          <w:highlight w:val="none"/>
        </w:rPr>
        <w:t>投标保证金金额及账户信息：详</w:t>
      </w:r>
      <w:r>
        <w:rPr>
          <w:rFonts w:hint="eastAsia" w:hAnsi="宋体"/>
          <w:color w:val="auto"/>
          <w:kern w:val="2"/>
          <w:sz w:val="21"/>
          <w:szCs w:val="21"/>
          <w:highlight w:val="none"/>
          <w:lang w:val="zh-CN"/>
        </w:rPr>
        <w:t>见</w:t>
      </w:r>
      <w:r>
        <w:rPr>
          <w:rFonts w:hint="eastAsia" w:hAnsi="宋体"/>
          <w:color w:val="auto"/>
          <w:sz w:val="21"/>
          <w:szCs w:val="21"/>
          <w:highlight w:val="none"/>
        </w:rPr>
        <w:t>《供应商须知前附表》</w:t>
      </w:r>
      <w:r>
        <w:rPr>
          <w:rFonts w:hint="eastAsia" w:hAnsi="宋体"/>
          <w:bCs/>
          <w:color w:val="auto"/>
          <w:sz w:val="21"/>
          <w:szCs w:val="21"/>
          <w:highlight w:val="none"/>
        </w:rPr>
        <w:t>。</w:t>
      </w:r>
    </w:p>
    <w:p>
      <w:pPr>
        <w:tabs>
          <w:tab w:val="left" w:pos="567"/>
        </w:tabs>
        <w:spacing w:line="360" w:lineRule="auto"/>
        <w:ind w:left="567" w:hanging="567" w:hangingChars="270"/>
        <w:rPr>
          <w:rFonts w:hAnsi="宋体"/>
          <w:color w:val="auto"/>
          <w:sz w:val="21"/>
          <w:szCs w:val="21"/>
          <w:highlight w:val="none"/>
        </w:rPr>
      </w:pPr>
      <w:r>
        <w:rPr>
          <w:rFonts w:hint="eastAsia" w:hAnsi="宋体"/>
          <w:bCs/>
          <w:color w:val="auto"/>
          <w:kern w:val="2"/>
          <w:sz w:val="21"/>
          <w:szCs w:val="21"/>
          <w:highlight w:val="none"/>
          <w:lang w:val="zh-CN"/>
        </w:rPr>
        <w:t xml:space="preserve">20.2 </w:t>
      </w:r>
      <w:r>
        <w:rPr>
          <w:rFonts w:hint="eastAsia" w:hAnsi="宋体"/>
          <w:bCs/>
          <w:color w:val="auto"/>
          <w:sz w:val="21"/>
          <w:szCs w:val="21"/>
          <w:highlight w:val="none"/>
        </w:rPr>
        <w:t>投标保证金交纳方式：</w:t>
      </w:r>
    </w:p>
    <w:p>
      <w:pPr>
        <w:tabs>
          <w:tab w:val="left" w:pos="567"/>
        </w:tabs>
        <w:spacing w:line="360" w:lineRule="auto"/>
        <w:ind w:left="120" w:leftChars="50" w:right="18" w:firstLine="315" w:firstLineChars="150"/>
        <w:jc w:val="both"/>
        <w:rPr>
          <w:rFonts w:hAnsi="宋体"/>
          <w:color w:val="auto"/>
          <w:sz w:val="21"/>
          <w:szCs w:val="21"/>
          <w:highlight w:val="none"/>
        </w:rPr>
      </w:pPr>
      <w:r>
        <w:rPr>
          <w:rFonts w:hint="eastAsia" w:hAnsi="宋体"/>
          <w:color w:val="auto"/>
          <w:sz w:val="21"/>
          <w:szCs w:val="21"/>
          <w:highlight w:val="none"/>
        </w:rPr>
        <w:t>（1）投标保证金以银行转账形式提交，应符合下列规定:</w:t>
      </w:r>
    </w:p>
    <w:p>
      <w:pPr>
        <w:tabs>
          <w:tab w:val="left" w:pos="567"/>
        </w:tabs>
        <w:spacing w:line="360" w:lineRule="auto"/>
        <w:ind w:left="528" w:leftChars="220" w:firstLine="315" w:firstLineChars="150"/>
        <w:rPr>
          <w:rFonts w:hAnsi="宋体"/>
          <w:color w:val="auto"/>
          <w:sz w:val="21"/>
          <w:szCs w:val="21"/>
          <w:highlight w:val="none"/>
        </w:rPr>
      </w:pPr>
      <w:r>
        <w:rPr>
          <w:rFonts w:hint="eastAsia" w:hAnsi="宋体"/>
          <w:color w:val="auto"/>
          <w:sz w:val="21"/>
          <w:szCs w:val="21"/>
          <w:highlight w:val="none"/>
        </w:rPr>
        <w:t>①投标保证金必须供应商自有对公账户转出，不允许代缴，不接受银行柜台</w:t>
      </w:r>
      <w:r>
        <w:rPr>
          <w:rFonts w:hint="eastAsia" w:hAnsi="宋体"/>
          <w:bCs/>
          <w:color w:val="auto"/>
          <w:sz w:val="21"/>
          <w:szCs w:val="21"/>
          <w:highlight w:val="none"/>
        </w:rPr>
        <w:t>交纳</w:t>
      </w:r>
      <w:r>
        <w:rPr>
          <w:rFonts w:hint="eastAsia" w:hAnsi="宋体"/>
          <w:color w:val="auto"/>
          <w:sz w:val="21"/>
          <w:szCs w:val="21"/>
          <w:highlight w:val="none"/>
        </w:rPr>
        <w:t>现金方式，保证投标保证金必须以其供应商的名称（以分公司或子公司转账无效）在本项目递交响应文件</w:t>
      </w:r>
      <w:r>
        <w:rPr>
          <w:rFonts w:hAnsi="宋体"/>
          <w:color w:val="auto"/>
          <w:sz w:val="21"/>
          <w:szCs w:val="21"/>
          <w:highlight w:val="none"/>
        </w:rPr>
        <w:t>截止时间前</w:t>
      </w:r>
      <w:r>
        <w:rPr>
          <w:rFonts w:hint="eastAsia" w:hAnsi="宋体"/>
          <w:color w:val="auto"/>
          <w:sz w:val="21"/>
          <w:szCs w:val="21"/>
          <w:highlight w:val="none"/>
        </w:rPr>
        <w:t>汇入到保证金专用账户，以银行到帐为准。</w:t>
      </w:r>
    </w:p>
    <w:p>
      <w:pPr>
        <w:tabs>
          <w:tab w:val="left" w:pos="567"/>
        </w:tabs>
        <w:spacing w:line="360" w:lineRule="auto"/>
        <w:ind w:left="528" w:leftChars="220" w:firstLine="315" w:firstLineChars="150"/>
        <w:rPr>
          <w:rFonts w:hAnsi="宋体"/>
          <w:color w:val="auto"/>
          <w:sz w:val="21"/>
          <w:szCs w:val="21"/>
          <w:highlight w:val="none"/>
        </w:rPr>
      </w:pPr>
      <w:r>
        <w:rPr>
          <w:rFonts w:hint="eastAsia" w:hAnsi="宋体"/>
          <w:color w:val="auto"/>
          <w:sz w:val="21"/>
          <w:szCs w:val="21"/>
          <w:highlight w:val="none"/>
        </w:rPr>
        <w:t>②如对多个包进行投标的，供应商须对应所投包分别提交投标保证金。</w:t>
      </w:r>
    </w:p>
    <w:p>
      <w:pPr>
        <w:tabs>
          <w:tab w:val="left" w:pos="567"/>
        </w:tabs>
        <w:spacing w:line="360" w:lineRule="auto"/>
        <w:ind w:left="120" w:leftChars="50" w:right="18" w:firstLine="315" w:firstLineChars="150"/>
        <w:jc w:val="both"/>
        <w:rPr>
          <w:rFonts w:hAnsi="宋体"/>
          <w:color w:val="auto"/>
          <w:sz w:val="21"/>
          <w:szCs w:val="21"/>
          <w:highlight w:val="none"/>
        </w:rPr>
      </w:pPr>
      <w:r>
        <w:rPr>
          <w:rFonts w:hint="eastAsia" w:hAnsi="宋体"/>
          <w:color w:val="auto"/>
          <w:sz w:val="21"/>
          <w:szCs w:val="21"/>
          <w:highlight w:val="none"/>
        </w:rPr>
        <w:t>（2）采用《政府采购投标担保函》提交的，应符合下列规定：</w:t>
      </w:r>
    </w:p>
    <w:p>
      <w:pPr>
        <w:tabs>
          <w:tab w:val="left" w:pos="567"/>
        </w:tabs>
        <w:spacing w:line="360" w:lineRule="auto"/>
        <w:ind w:left="528" w:leftChars="220" w:firstLine="315" w:firstLineChars="150"/>
        <w:rPr>
          <w:rFonts w:hAnsi="宋体"/>
          <w:color w:val="auto"/>
          <w:sz w:val="21"/>
          <w:szCs w:val="21"/>
          <w:highlight w:val="none"/>
        </w:rPr>
      </w:pPr>
      <w:r>
        <w:rPr>
          <w:rFonts w:hint="eastAsia" w:hAnsi="宋体"/>
          <w:color w:val="auto"/>
          <w:sz w:val="21"/>
          <w:szCs w:val="21"/>
          <w:highlight w:val="none"/>
        </w:rPr>
        <w:t>①投标担保函有效期应与投标有效期一致；</w:t>
      </w:r>
    </w:p>
    <w:p>
      <w:pPr>
        <w:tabs>
          <w:tab w:val="left" w:pos="567"/>
        </w:tabs>
        <w:spacing w:line="360" w:lineRule="auto"/>
        <w:ind w:left="528" w:leftChars="220" w:firstLine="315" w:firstLineChars="150"/>
        <w:rPr>
          <w:rFonts w:hAnsi="宋体"/>
          <w:color w:val="auto"/>
          <w:sz w:val="21"/>
          <w:szCs w:val="21"/>
          <w:highlight w:val="none"/>
        </w:rPr>
      </w:pPr>
      <w:r>
        <w:rPr>
          <w:rFonts w:hint="eastAsia" w:hAnsi="宋体"/>
          <w:color w:val="auto"/>
          <w:sz w:val="21"/>
          <w:szCs w:val="21"/>
          <w:highlight w:val="none"/>
        </w:rPr>
        <w:t>②《政府采购投标担保函》原件与响应文件一同递交。</w:t>
      </w:r>
    </w:p>
    <w:p>
      <w:pPr>
        <w:tabs>
          <w:tab w:val="left" w:pos="567"/>
        </w:tabs>
        <w:spacing w:line="360" w:lineRule="auto"/>
        <w:ind w:left="567" w:hanging="567"/>
        <w:rPr>
          <w:rFonts w:hAnsi="宋体"/>
          <w:color w:val="auto"/>
          <w:sz w:val="21"/>
          <w:szCs w:val="21"/>
          <w:highlight w:val="none"/>
        </w:rPr>
      </w:pPr>
      <w:r>
        <w:rPr>
          <w:rFonts w:hint="eastAsia" w:hAnsi="宋体"/>
          <w:color w:val="auto"/>
          <w:sz w:val="21"/>
          <w:szCs w:val="21"/>
          <w:highlight w:val="none"/>
        </w:rPr>
        <w:t>20.3 如采用转账、支票、本票、汇票形式提交的，投标保证金从供应商基本账户递交，由广东中科招标有限公司代收。具体操作要求详见广东中科招标有限公司有关指引，递交事宜请自行咨询广东中科招标有限公司；请各供应商在响应文件递交截止时间前按须知前附表规定的金额递交至广东中科招标有限公司，到账情况以开标时广东中科招标有限公司查询的信息为准。</w:t>
      </w:r>
    </w:p>
    <w:p>
      <w:pPr>
        <w:tabs>
          <w:tab w:val="left" w:pos="567"/>
        </w:tabs>
        <w:spacing w:line="360" w:lineRule="auto"/>
        <w:ind w:left="567" w:hanging="567"/>
        <w:rPr>
          <w:rFonts w:hAnsi="宋体"/>
          <w:color w:val="auto"/>
          <w:sz w:val="21"/>
          <w:szCs w:val="21"/>
          <w:highlight w:val="none"/>
        </w:rPr>
      </w:pPr>
      <w:r>
        <w:rPr>
          <w:rFonts w:hint="eastAsia" w:hAnsi="宋体"/>
          <w:color w:val="auto"/>
          <w:sz w:val="21"/>
          <w:szCs w:val="21"/>
          <w:highlight w:val="none"/>
        </w:rPr>
        <w:t>20.4 供应商未按照磋商文件要求提交投标保证金的，</w:t>
      </w:r>
      <w:r>
        <w:rPr>
          <w:rFonts w:hint="eastAsia" w:hAnsi="宋体"/>
          <w:b/>
          <w:color w:val="auto"/>
          <w:sz w:val="21"/>
          <w:szCs w:val="21"/>
          <w:highlight w:val="none"/>
        </w:rPr>
        <w:t>投标无效</w:t>
      </w:r>
      <w:r>
        <w:rPr>
          <w:rFonts w:hint="eastAsia" w:hAnsi="宋体"/>
          <w:color w:val="auto"/>
          <w:sz w:val="21"/>
          <w:szCs w:val="21"/>
          <w:highlight w:val="none"/>
        </w:rPr>
        <w:t>。</w:t>
      </w:r>
    </w:p>
    <w:p>
      <w:pPr>
        <w:tabs>
          <w:tab w:val="left" w:pos="567"/>
        </w:tabs>
        <w:spacing w:line="360" w:lineRule="auto"/>
        <w:ind w:left="567" w:hanging="567" w:hangingChars="270"/>
        <w:rPr>
          <w:rFonts w:hAnsi="宋体"/>
          <w:bCs/>
          <w:color w:val="auto"/>
          <w:kern w:val="2"/>
          <w:sz w:val="21"/>
          <w:szCs w:val="21"/>
          <w:highlight w:val="none"/>
          <w:lang w:val="zh-CN"/>
        </w:rPr>
      </w:pPr>
      <w:r>
        <w:rPr>
          <w:rFonts w:hint="eastAsia" w:hAnsi="宋体"/>
          <w:bCs/>
          <w:color w:val="auto"/>
          <w:kern w:val="2"/>
          <w:sz w:val="21"/>
          <w:szCs w:val="21"/>
          <w:highlight w:val="none"/>
          <w:lang w:val="zh-CN"/>
        </w:rPr>
        <w:t>20.5 供应商在投标截止时间前撤回已提交的响应文件的，采购代理机构自收到供应商书面撤回通知之日起5个工作日内，退还已收取的投标保证金，但因供应商自身原因导致无法及时退还的除外。</w:t>
      </w:r>
    </w:p>
    <w:p>
      <w:pPr>
        <w:tabs>
          <w:tab w:val="left" w:pos="567"/>
        </w:tabs>
        <w:spacing w:line="360" w:lineRule="auto"/>
        <w:ind w:left="567" w:hanging="567" w:hangingChars="270"/>
        <w:rPr>
          <w:rFonts w:hAnsi="宋体"/>
          <w:color w:val="auto"/>
          <w:sz w:val="21"/>
          <w:szCs w:val="21"/>
          <w:highlight w:val="none"/>
        </w:rPr>
      </w:pPr>
      <w:r>
        <w:rPr>
          <w:rFonts w:hint="eastAsia" w:hAnsi="宋体"/>
          <w:bCs/>
          <w:color w:val="auto"/>
          <w:kern w:val="2"/>
          <w:sz w:val="21"/>
          <w:szCs w:val="21"/>
          <w:highlight w:val="none"/>
          <w:lang w:val="zh-CN"/>
        </w:rPr>
        <w:t xml:space="preserve">20.5 </w:t>
      </w:r>
      <w:r>
        <w:rPr>
          <w:rFonts w:hint="eastAsia" w:hAnsi="宋体"/>
          <w:color w:val="auto"/>
          <w:sz w:val="21"/>
          <w:szCs w:val="21"/>
          <w:highlight w:val="none"/>
        </w:rPr>
        <w:t>采购代理机构将在成交通知书发出之日起5个工作日内退还未成交供应商的投标保证金，</w:t>
      </w:r>
      <w:r>
        <w:rPr>
          <w:rFonts w:hint="eastAsia" w:hAnsi="宋体"/>
          <w:bCs/>
          <w:color w:val="auto"/>
          <w:sz w:val="21"/>
          <w:szCs w:val="21"/>
          <w:highlight w:val="none"/>
          <w:lang w:val="zh-CN"/>
        </w:rPr>
        <w:t>但因供应商自身原因导致无法及时退还的除外。</w:t>
      </w:r>
    </w:p>
    <w:p>
      <w:pPr>
        <w:tabs>
          <w:tab w:val="left" w:pos="567"/>
        </w:tabs>
        <w:spacing w:line="360" w:lineRule="auto"/>
        <w:ind w:left="567" w:hanging="567" w:hangingChars="270"/>
        <w:rPr>
          <w:rFonts w:hAnsi="宋体"/>
          <w:bCs/>
          <w:color w:val="auto"/>
          <w:kern w:val="2"/>
          <w:sz w:val="21"/>
          <w:szCs w:val="21"/>
          <w:highlight w:val="none"/>
          <w:lang w:val="zh-CN"/>
        </w:rPr>
      </w:pPr>
      <w:r>
        <w:rPr>
          <w:rFonts w:hint="eastAsia" w:hAnsi="宋体"/>
          <w:bCs/>
          <w:color w:val="auto"/>
          <w:kern w:val="2"/>
          <w:sz w:val="21"/>
          <w:szCs w:val="21"/>
          <w:highlight w:val="none"/>
          <w:lang w:val="zh-CN"/>
        </w:rPr>
        <w:t>20.6 投标保证金的退还：</w:t>
      </w:r>
    </w:p>
    <w:p>
      <w:pPr>
        <w:tabs>
          <w:tab w:val="left" w:pos="567"/>
        </w:tabs>
        <w:spacing w:line="360" w:lineRule="auto"/>
        <w:ind w:left="480" w:left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（1）供应商在投标截止时间前放弃投标的，自所投采购包结果公告发出后5个工作日内退还。</w:t>
      </w:r>
    </w:p>
    <w:p>
      <w:pPr>
        <w:tabs>
          <w:tab w:val="left" w:pos="567"/>
        </w:tabs>
        <w:spacing w:line="360" w:lineRule="auto"/>
        <w:ind w:left="480" w:left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（2）未成交的供应商投标保证金，自成交通知书发出之日起5个工作日内退还。</w:t>
      </w:r>
    </w:p>
    <w:p>
      <w:pPr>
        <w:tabs>
          <w:tab w:val="left" w:pos="567"/>
        </w:tabs>
        <w:spacing w:line="360" w:lineRule="auto"/>
        <w:ind w:left="480" w:left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（3）成交供应商的投标保证金，自政府采购合同签订之日起5个工作日内退还。备注：但因供应商自身原因导致无法及时退还的除外。</w:t>
      </w:r>
    </w:p>
    <w:p>
      <w:pPr>
        <w:tabs>
          <w:tab w:val="left" w:pos="567"/>
        </w:tabs>
        <w:spacing w:line="360" w:lineRule="auto"/>
        <w:ind w:left="567" w:hanging="567" w:hangingChars="270"/>
        <w:rPr>
          <w:rFonts w:hAnsi="宋体"/>
          <w:bCs/>
          <w:color w:val="auto"/>
          <w:kern w:val="2"/>
          <w:sz w:val="21"/>
          <w:szCs w:val="21"/>
          <w:highlight w:val="none"/>
          <w:lang w:val="zh-CN"/>
        </w:rPr>
      </w:pPr>
      <w:r>
        <w:rPr>
          <w:rFonts w:hint="eastAsia" w:hAnsi="宋体"/>
          <w:bCs/>
          <w:color w:val="auto"/>
          <w:kern w:val="2"/>
          <w:sz w:val="21"/>
          <w:szCs w:val="21"/>
          <w:highlight w:val="none"/>
          <w:lang w:val="zh-CN"/>
        </w:rPr>
        <w:t>20.7 有下列情形之一的，投标保证金将不予退还：</w:t>
      </w:r>
    </w:p>
    <w:p>
      <w:pPr>
        <w:tabs>
          <w:tab w:val="left" w:pos="567"/>
        </w:tabs>
        <w:spacing w:line="360" w:lineRule="auto"/>
        <w:ind w:left="480" w:left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（1）提供虚假材料谋取成交、成交的；</w:t>
      </w:r>
    </w:p>
    <w:p>
      <w:pPr>
        <w:tabs>
          <w:tab w:val="left" w:pos="567"/>
        </w:tabs>
        <w:spacing w:line="360" w:lineRule="auto"/>
        <w:ind w:left="480" w:left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（2）供应商在磋商文件规定的投标有效期内撤销其投标；</w:t>
      </w:r>
    </w:p>
    <w:p>
      <w:pPr>
        <w:tabs>
          <w:tab w:val="left" w:pos="567"/>
        </w:tabs>
        <w:spacing w:line="360" w:lineRule="auto"/>
        <w:ind w:left="480" w:left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（3）成交后，无正当理由放弃成交资格；</w:t>
      </w:r>
    </w:p>
    <w:p>
      <w:pPr>
        <w:tabs>
          <w:tab w:val="left" w:pos="567"/>
        </w:tabs>
        <w:spacing w:line="360" w:lineRule="auto"/>
        <w:ind w:left="480" w:left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（4）成交后，无正当理由不与采购人签订合同；</w:t>
      </w:r>
    </w:p>
    <w:p>
      <w:pPr>
        <w:tabs>
          <w:tab w:val="left" w:pos="567"/>
        </w:tabs>
        <w:spacing w:line="360" w:lineRule="auto"/>
        <w:ind w:left="480" w:left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（5）法律法规和磋商文件规定的其他情形。</w:t>
      </w:r>
    </w:p>
    <w:p>
      <w:pPr>
        <w:tabs>
          <w:tab w:val="left" w:pos="567"/>
        </w:tabs>
        <w:spacing w:line="360" w:lineRule="auto"/>
        <w:ind w:left="567" w:hanging="567"/>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21</w:t>
      </w:r>
      <w:r>
        <w:rPr>
          <w:rFonts w:hAnsi="宋体"/>
          <w:b/>
          <w:color w:val="auto"/>
          <w:kern w:val="2"/>
          <w:sz w:val="21"/>
          <w:szCs w:val="21"/>
          <w:highlight w:val="none"/>
          <w:lang w:val="zh-CN"/>
        </w:rPr>
        <w:tab/>
      </w:r>
      <w:r>
        <w:rPr>
          <w:rFonts w:hint="eastAsia" w:hAnsi="宋体"/>
          <w:b/>
          <w:color w:val="auto"/>
          <w:kern w:val="2"/>
          <w:sz w:val="21"/>
          <w:szCs w:val="21"/>
          <w:highlight w:val="none"/>
          <w:lang w:val="zh-CN"/>
        </w:rPr>
        <w:t>投标有效期</w:t>
      </w:r>
    </w:p>
    <w:p>
      <w:pPr>
        <w:tabs>
          <w:tab w:val="left" w:pos="567"/>
        </w:tabs>
        <w:spacing w:line="360" w:lineRule="auto"/>
        <w:ind w:left="567" w:hanging="567"/>
        <w:jc w:val="both"/>
        <w:rPr>
          <w:rFonts w:hAnsi="宋体"/>
          <w:color w:val="auto"/>
          <w:sz w:val="21"/>
          <w:szCs w:val="21"/>
          <w:highlight w:val="none"/>
        </w:rPr>
      </w:pPr>
      <w:r>
        <w:rPr>
          <w:rFonts w:hint="eastAsia" w:hAnsi="宋体"/>
          <w:color w:val="auto"/>
          <w:kern w:val="2"/>
          <w:sz w:val="21"/>
          <w:szCs w:val="21"/>
          <w:highlight w:val="none"/>
          <w:lang w:val="zh-CN"/>
        </w:rPr>
        <w:t>21</w:t>
      </w:r>
      <w:r>
        <w:rPr>
          <w:rFonts w:hAnsi="宋体"/>
          <w:color w:val="auto"/>
          <w:kern w:val="2"/>
          <w:sz w:val="21"/>
          <w:szCs w:val="21"/>
          <w:highlight w:val="none"/>
          <w:lang w:val="zh-CN"/>
        </w:rPr>
        <w:t>.1</w:t>
      </w:r>
      <w:r>
        <w:rPr>
          <w:rFonts w:hint="eastAsia" w:hAnsi="宋体"/>
          <w:color w:val="auto"/>
          <w:sz w:val="21"/>
          <w:szCs w:val="21"/>
          <w:highlight w:val="none"/>
        </w:rPr>
        <w:tab/>
      </w:r>
      <w:r>
        <w:rPr>
          <w:rFonts w:hint="eastAsia" w:hAnsi="宋体"/>
          <w:color w:val="auto"/>
          <w:sz w:val="21"/>
          <w:szCs w:val="21"/>
          <w:highlight w:val="none"/>
        </w:rPr>
        <w:t>投标有效期内供应商撤销响应文件的，采购人或者采购代理机构可以不退还投标保证金（如有）。采用投标保函方式替代保证金的，采购人或者采购代理机构可以向担保机构索赔保证金。</w:t>
      </w:r>
    </w:p>
    <w:p>
      <w:pPr>
        <w:tabs>
          <w:tab w:val="left" w:pos="567"/>
        </w:tabs>
        <w:spacing w:line="360" w:lineRule="auto"/>
        <w:ind w:left="567" w:hanging="567"/>
        <w:jc w:val="both"/>
        <w:rPr>
          <w:rFonts w:hAnsi="宋体"/>
          <w:color w:val="auto"/>
          <w:sz w:val="21"/>
          <w:szCs w:val="21"/>
          <w:highlight w:val="none"/>
        </w:rPr>
      </w:pPr>
      <w:r>
        <w:rPr>
          <w:rFonts w:hint="eastAsia" w:hAnsi="宋体"/>
          <w:color w:val="auto"/>
          <w:kern w:val="2"/>
          <w:sz w:val="21"/>
          <w:szCs w:val="21"/>
          <w:highlight w:val="none"/>
          <w:lang w:val="zh-CN"/>
        </w:rPr>
        <w:t>21</w:t>
      </w:r>
      <w:r>
        <w:rPr>
          <w:rFonts w:hAnsi="宋体"/>
          <w:color w:val="auto"/>
          <w:kern w:val="2"/>
          <w:sz w:val="21"/>
          <w:szCs w:val="21"/>
          <w:highlight w:val="none"/>
          <w:lang w:val="zh-CN"/>
        </w:rPr>
        <w:t>.</w:t>
      </w:r>
      <w:r>
        <w:rPr>
          <w:rFonts w:hint="eastAsia" w:hAnsi="宋体"/>
          <w:color w:val="auto"/>
          <w:kern w:val="2"/>
          <w:sz w:val="21"/>
          <w:szCs w:val="21"/>
          <w:highlight w:val="none"/>
          <w:lang w:val="zh-CN"/>
        </w:rPr>
        <w:t>2</w:t>
      </w:r>
      <w:r>
        <w:rPr>
          <w:rFonts w:hint="eastAsia" w:hAnsi="宋体"/>
          <w:color w:val="auto"/>
          <w:sz w:val="21"/>
          <w:szCs w:val="21"/>
          <w:highlight w:val="none"/>
        </w:rPr>
        <w:tab/>
      </w:r>
      <w:r>
        <w:rPr>
          <w:rFonts w:hint="eastAsia" w:hAnsi="宋体"/>
          <w:color w:val="auto"/>
          <w:sz w:val="21"/>
          <w:szCs w:val="21"/>
          <w:highlight w:val="none"/>
        </w:rPr>
        <w:t>出现特殊情况需延长投标有效期的，采购人或采购代理机构可于投标有效期满之前要求供应商同意延长有效期，要求与答复均以书面形式通知所有供应商。供应商同意延长的，应相应延长其投标保证金（如有）的有效期，但不得要求或被允许修改或撤销其响应文件；供应商可以拒绝延长有效期，但其投标将会被视为无效，拒绝延长有效期的供应商有权收回其投标保证金（如有）。采用投标保函方式替代保证金的，投标有效期超出保函有效期的，采购人或者采购代理机构应提示供应商重新开函，未获得有效保函的供应商其投标将会被视为无效。</w:t>
      </w:r>
    </w:p>
    <w:p>
      <w:pPr>
        <w:tabs>
          <w:tab w:val="left" w:pos="567"/>
        </w:tabs>
        <w:spacing w:line="360" w:lineRule="auto"/>
        <w:ind w:left="567" w:hanging="567"/>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22</w:t>
      </w:r>
      <w:r>
        <w:rPr>
          <w:rFonts w:hAnsi="宋体"/>
          <w:b/>
          <w:color w:val="auto"/>
          <w:kern w:val="2"/>
          <w:sz w:val="21"/>
          <w:szCs w:val="21"/>
          <w:highlight w:val="none"/>
          <w:lang w:val="zh-CN"/>
        </w:rPr>
        <w:tab/>
      </w:r>
      <w:r>
        <w:rPr>
          <w:rFonts w:hint="eastAsia" w:hAnsi="宋体"/>
          <w:b/>
          <w:color w:val="auto"/>
          <w:kern w:val="2"/>
          <w:sz w:val="21"/>
          <w:szCs w:val="21"/>
          <w:highlight w:val="none"/>
          <w:lang w:val="zh-CN"/>
        </w:rPr>
        <w:t>响应文件的签署、盖章</w:t>
      </w:r>
    </w:p>
    <w:p>
      <w:pPr>
        <w:spacing w:line="360" w:lineRule="auto"/>
        <w:ind w:left="567"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22</w:t>
      </w:r>
      <w:r>
        <w:rPr>
          <w:rFonts w:hAnsi="宋体"/>
          <w:color w:val="auto"/>
          <w:kern w:val="2"/>
          <w:sz w:val="21"/>
          <w:szCs w:val="21"/>
          <w:highlight w:val="none"/>
          <w:lang w:val="zh-CN"/>
        </w:rPr>
        <w:t>.1</w:t>
      </w:r>
      <w:r>
        <w:rPr>
          <w:rFonts w:hAnsi="宋体"/>
          <w:color w:val="auto"/>
          <w:kern w:val="2"/>
          <w:sz w:val="21"/>
          <w:szCs w:val="21"/>
          <w:highlight w:val="none"/>
          <w:lang w:val="zh-CN"/>
        </w:rPr>
        <w:tab/>
      </w:r>
      <w:r>
        <w:rPr>
          <w:rFonts w:hint="eastAsia" w:hAnsi="宋体"/>
          <w:color w:val="auto"/>
          <w:kern w:val="2"/>
          <w:sz w:val="21"/>
          <w:szCs w:val="21"/>
          <w:highlight w:val="none"/>
          <w:lang w:val="zh-CN"/>
        </w:rPr>
        <w:t>供应商应准备</w:t>
      </w:r>
      <w:r>
        <w:rPr>
          <w:rFonts w:hint="eastAsia" w:hAnsi="宋体"/>
          <w:color w:val="auto"/>
          <w:sz w:val="21"/>
          <w:szCs w:val="21"/>
          <w:highlight w:val="none"/>
        </w:rPr>
        <w:t>《供应商须知前附表》</w:t>
      </w:r>
      <w:r>
        <w:rPr>
          <w:rFonts w:hint="eastAsia" w:hAnsi="宋体"/>
          <w:color w:val="auto"/>
          <w:kern w:val="2"/>
          <w:sz w:val="21"/>
          <w:szCs w:val="21"/>
          <w:highlight w:val="none"/>
          <w:lang w:val="zh-CN"/>
        </w:rPr>
        <w:t>规定的响应文件份数，</w:t>
      </w:r>
      <w:r>
        <w:rPr>
          <w:rFonts w:hint="eastAsia" w:hAnsi="宋体"/>
          <w:color w:val="auto"/>
          <w:sz w:val="21"/>
          <w:szCs w:val="21"/>
          <w:highlight w:val="none"/>
        </w:rPr>
        <w:t>响应文件的副本可采用正本的复印件。每套响应文件须清楚地标明“正本”、“副本”。若副本与正本不符，以正本为准。</w:t>
      </w:r>
    </w:p>
    <w:p>
      <w:pPr>
        <w:tabs>
          <w:tab w:val="left" w:pos="567"/>
        </w:tabs>
        <w:spacing w:line="360" w:lineRule="auto"/>
        <w:ind w:left="567"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22</w:t>
      </w:r>
      <w:r>
        <w:rPr>
          <w:rFonts w:hAnsi="宋体"/>
          <w:color w:val="auto"/>
          <w:kern w:val="2"/>
          <w:sz w:val="21"/>
          <w:szCs w:val="21"/>
          <w:highlight w:val="none"/>
          <w:lang w:val="zh-CN"/>
        </w:rPr>
        <w:t>.2</w:t>
      </w:r>
      <w:r>
        <w:rPr>
          <w:rFonts w:hAnsi="宋体"/>
          <w:color w:val="auto"/>
          <w:kern w:val="2"/>
          <w:sz w:val="21"/>
          <w:szCs w:val="21"/>
          <w:highlight w:val="none"/>
          <w:lang w:val="zh-CN"/>
        </w:rPr>
        <w:tab/>
      </w:r>
      <w:r>
        <w:rPr>
          <w:rFonts w:hint="eastAsia" w:hAnsi="宋体"/>
          <w:bCs/>
          <w:color w:val="auto"/>
          <w:kern w:val="2"/>
          <w:sz w:val="21"/>
          <w:szCs w:val="21"/>
          <w:highlight w:val="none"/>
          <w:lang w:val="zh-CN"/>
        </w:rPr>
        <w:t>响应文件正本和副本须打印或用不褪色墨水书写，并在磋商文件要求签名、盖章处加盖公章和由供应商法定代表人或其授权代表签名，授权代表签名的须将</w:t>
      </w:r>
      <w:r>
        <w:rPr>
          <w:rFonts w:hAnsi="宋体"/>
          <w:bCs/>
          <w:color w:val="auto"/>
          <w:kern w:val="2"/>
          <w:sz w:val="21"/>
          <w:szCs w:val="21"/>
          <w:highlight w:val="none"/>
          <w:lang w:val="zh-CN"/>
        </w:rPr>
        <w:t>“</w:t>
      </w:r>
      <w:bookmarkStart w:id="69" w:name="_Toc505678809"/>
      <w:r>
        <w:rPr>
          <w:rFonts w:hint="eastAsia" w:hAnsi="宋体"/>
          <w:bCs/>
          <w:color w:val="auto"/>
          <w:kern w:val="2"/>
          <w:sz w:val="21"/>
          <w:szCs w:val="21"/>
          <w:highlight w:val="none"/>
          <w:lang w:val="zh-CN"/>
        </w:rPr>
        <w:t>法定代表人授权委托书</w:t>
      </w:r>
      <w:bookmarkEnd w:id="69"/>
      <w:r>
        <w:rPr>
          <w:rFonts w:hAnsi="宋体"/>
          <w:bCs/>
          <w:color w:val="auto"/>
          <w:kern w:val="2"/>
          <w:sz w:val="21"/>
          <w:szCs w:val="21"/>
          <w:highlight w:val="none"/>
          <w:lang w:val="zh-CN"/>
        </w:rPr>
        <w:t>”</w:t>
      </w:r>
      <w:r>
        <w:rPr>
          <w:rFonts w:hint="eastAsia" w:hAnsi="宋体"/>
          <w:bCs/>
          <w:color w:val="auto"/>
          <w:kern w:val="2"/>
          <w:sz w:val="21"/>
          <w:szCs w:val="21"/>
          <w:highlight w:val="none"/>
          <w:lang w:val="zh-CN"/>
        </w:rPr>
        <w:t>以书面形式附在响应文件中。</w:t>
      </w:r>
    </w:p>
    <w:p>
      <w:pPr>
        <w:spacing w:line="360" w:lineRule="auto"/>
        <w:ind w:left="567"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22</w:t>
      </w:r>
      <w:r>
        <w:rPr>
          <w:rFonts w:hAnsi="宋体"/>
          <w:color w:val="auto"/>
          <w:kern w:val="2"/>
          <w:sz w:val="21"/>
          <w:szCs w:val="21"/>
          <w:highlight w:val="none"/>
          <w:lang w:val="zh-CN"/>
        </w:rPr>
        <w:t>.3</w:t>
      </w:r>
      <w:r>
        <w:rPr>
          <w:rFonts w:hAnsi="宋体"/>
          <w:color w:val="auto"/>
          <w:kern w:val="2"/>
          <w:sz w:val="21"/>
          <w:szCs w:val="21"/>
          <w:highlight w:val="none"/>
          <w:lang w:val="zh-CN"/>
        </w:rPr>
        <w:tab/>
      </w:r>
      <w:r>
        <w:rPr>
          <w:rFonts w:hint="eastAsia" w:hAnsi="宋体"/>
          <w:color w:val="auto"/>
          <w:kern w:val="2"/>
          <w:sz w:val="21"/>
          <w:szCs w:val="21"/>
          <w:highlight w:val="none"/>
          <w:lang w:val="zh-CN"/>
        </w:rPr>
        <w:t>供应商除可对响应文件的错处作必要修改外，响应文件中不许有加行、涂抹或改写。任何插字、涂改和增删，须由法定代表人或其授权代表在旁边签字，并加盖公章。</w:t>
      </w:r>
    </w:p>
    <w:p>
      <w:pPr>
        <w:spacing w:line="360" w:lineRule="auto"/>
        <w:ind w:left="567"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22</w:t>
      </w:r>
      <w:r>
        <w:rPr>
          <w:rFonts w:hAnsi="宋体"/>
          <w:color w:val="auto"/>
          <w:kern w:val="2"/>
          <w:sz w:val="21"/>
          <w:szCs w:val="21"/>
          <w:highlight w:val="none"/>
          <w:lang w:val="zh-CN"/>
        </w:rPr>
        <w:t>.4</w:t>
      </w:r>
      <w:r>
        <w:rPr>
          <w:rFonts w:hAnsi="宋体"/>
          <w:color w:val="auto"/>
          <w:kern w:val="2"/>
          <w:sz w:val="21"/>
          <w:szCs w:val="21"/>
          <w:highlight w:val="none"/>
          <w:lang w:val="zh-CN"/>
        </w:rPr>
        <w:tab/>
      </w:r>
      <w:r>
        <w:rPr>
          <w:rFonts w:hint="eastAsia" w:hAnsi="宋体"/>
          <w:color w:val="auto"/>
          <w:kern w:val="2"/>
          <w:sz w:val="21"/>
          <w:szCs w:val="21"/>
          <w:highlight w:val="none"/>
          <w:lang w:val="zh-CN"/>
        </w:rPr>
        <w:t>响应文件的封面应注明</w:t>
      </w:r>
      <w:r>
        <w:rPr>
          <w:rFonts w:hAnsi="宋体"/>
          <w:color w:val="auto"/>
          <w:kern w:val="2"/>
          <w:sz w:val="21"/>
          <w:szCs w:val="21"/>
          <w:highlight w:val="none"/>
          <w:lang w:val="zh-CN"/>
        </w:rPr>
        <w:t>“</w:t>
      </w:r>
      <w:r>
        <w:rPr>
          <w:rFonts w:hint="eastAsia" w:hAnsi="宋体"/>
          <w:color w:val="auto"/>
          <w:kern w:val="2"/>
          <w:sz w:val="21"/>
          <w:szCs w:val="21"/>
          <w:highlight w:val="none"/>
          <w:lang w:val="zh-CN"/>
        </w:rPr>
        <w:t>项目名称、项目编号、包号（如有）、响应文件名称、供应商名称、供应商地址、投标日期等</w:t>
      </w:r>
      <w:r>
        <w:rPr>
          <w:rFonts w:hAnsi="宋体"/>
          <w:color w:val="auto"/>
          <w:kern w:val="2"/>
          <w:sz w:val="21"/>
          <w:szCs w:val="21"/>
          <w:highlight w:val="none"/>
          <w:lang w:val="zh-CN"/>
        </w:rPr>
        <w:t>”</w:t>
      </w:r>
      <w:r>
        <w:rPr>
          <w:rFonts w:hint="eastAsia" w:hAnsi="宋体"/>
          <w:color w:val="auto"/>
          <w:kern w:val="2"/>
          <w:sz w:val="21"/>
          <w:szCs w:val="21"/>
          <w:highlight w:val="none"/>
          <w:lang w:val="zh-CN"/>
        </w:rPr>
        <w:t>。</w:t>
      </w:r>
    </w:p>
    <w:p>
      <w:pPr>
        <w:spacing w:line="360" w:lineRule="auto"/>
        <w:ind w:left="567" w:hanging="567"/>
        <w:jc w:val="both"/>
        <w:rPr>
          <w:rFonts w:hAnsi="宋体"/>
          <w:bCs/>
          <w:color w:val="auto"/>
          <w:kern w:val="2"/>
          <w:sz w:val="21"/>
          <w:szCs w:val="21"/>
          <w:highlight w:val="none"/>
          <w:u w:val="single"/>
          <w:lang w:val="zh-CN"/>
        </w:rPr>
      </w:pPr>
      <w:r>
        <w:rPr>
          <w:rFonts w:hint="eastAsia" w:hAnsi="宋体"/>
          <w:color w:val="auto"/>
          <w:kern w:val="2"/>
          <w:sz w:val="21"/>
          <w:szCs w:val="21"/>
          <w:highlight w:val="none"/>
          <w:lang w:val="zh-CN"/>
        </w:rPr>
        <w:t>22</w:t>
      </w:r>
      <w:r>
        <w:rPr>
          <w:rFonts w:hAnsi="宋体"/>
          <w:color w:val="auto"/>
          <w:kern w:val="2"/>
          <w:sz w:val="21"/>
          <w:szCs w:val="21"/>
          <w:highlight w:val="none"/>
          <w:lang w:val="zh-CN"/>
        </w:rPr>
        <w:t>.5</w:t>
      </w:r>
      <w:r>
        <w:rPr>
          <w:rFonts w:hAnsi="宋体"/>
          <w:color w:val="auto"/>
          <w:kern w:val="2"/>
          <w:sz w:val="21"/>
          <w:szCs w:val="21"/>
          <w:highlight w:val="none"/>
          <w:lang w:val="zh-CN"/>
        </w:rPr>
        <w:tab/>
      </w:r>
      <w:r>
        <w:rPr>
          <w:rFonts w:hint="eastAsia" w:hAnsi="宋体"/>
          <w:color w:val="auto"/>
          <w:kern w:val="2"/>
          <w:sz w:val="21"/>
          <w:szCs w:val="21"/>
          <w:highlight w:val="none"/>
          <w:lang w:val="zh-CN"/>
        </w:rPr>
        <w:t>响应文件的</w:t>
      </w:r>
      <w:r>
        <w:rPr>
          <w:rFonts w:hAnsi="宋体"/>
          <w:color w:val="auto"/>
          <w:kern w:val="2"/>
          <w:sz w:val="21"/>
          <w:szCs w:val="21"/>
          <w:highlight w:val="none"/>
          <w:lang w:val="zh-CN"/>
        </w:rPr>
        <w:t>[</w:t>
      </w:r>
      <w:r>
        <w:rPr>
          <w:rFonts w:hint="eastAsia" w:hAnsi="宋体"/>
          <w:color w:val="auto"/>
          <w:kern w:val="2"/>
          <w:sz w:val="21"/>
          <w:szCs w:val="21"/>
          <w:highlight w:val="none"/>
          <w:lang w:val="zh-CN"/>
        </w:rPr>
        <w:t>正本</w:t>
      </w:r>
      <w:r>
        <w:rPr>
          <w:rFonts w:hAnsi="宋体"/>
          <w:color w:val="auto"/>
          <w:kern w:val="2"/>
          <w:sz w:val="21"/>
          <w:szCs w:val="21"/>
          <w:highlight w:val="none"/>
          <w:lang w:val="zh-CN"/>
        </w:rPr>
        <w:t>]</w:t>
      </w:r>
      <w:r>
        <w:rPr>
          <w:rFonts w:hint="eastAsia" w:hAnsi="宋体"/>
          <w:color w:val="auto"/>
          <w:kern w:val="2"/>
          <w:sz w:val="21"/>
          <w:szCs w:val="21"/>
          <w:highlight w:val="none"/>
          <w:lang w:val="zh-CN"/>
        </w:rPr>
        <w:t>及所有</w:t>
      </w:r>
      <w:r>
        <w:rPr>
          <w:rFonts w:hAnsi="宋体"/>
          <w:color w:val="auto"/>
          <w:kern w:val="2"/>
          <w:sz w:val="21"/>
          <w:szCs w:val="21"/>
          <w:highlight w:val="none"/>
          <w:lang w:val="zh-CN"/>
        </w:rPr>
        <w:t>[</w:t>
      </w:r>
      <w:r>
        <w:rPr>
          <w:rFonts w:hint="eastAsia" w:hAnsi="宋体"/>
          <w:color w:val="auto"/>
          <w:kern w:val="2"/>
          <w:sz w:val="21"/>
          <w:szCs w:val="21"/>
          <w:highlight w:val="none"/>
          <w:lang w:val="zh-CN"/>
        </w:rPr>
        <w:t>副本</w:t>
      </w:r>
      <w:r>
        <w:rPr>
          <w:rFonts w:hAnsi="宋体"/>
          <w:color w:val="auto"/>
          <w:kern w:val="2"/>
          <w:sz w:val="21"/>
          <w:szCs w:val="21"/>
          <w:highlight w:val="none"/>
          <w:lang w:val="zh-CN"/>
        </w:rPr>
        <w:t>]</w:t>
      </w:r>
      <w:r>
        <w:rPr>
          <w:rFonts w:hint="eastAsia" w:hAnsi="宋体"/>
          <w:color w:val="auto"/>
          <w:kern w:val="2"/>
          <w:sz w:val="21"/>
          <w:szCs w:val="21"/>
          <w:highlight w:val="none"/>
          <w:lang w:val="zh-CN"/>
        </w:rPr>
        <w:t>的封面及骑缝均须供应商加盖公章。</w:t>
      </w:r>
    </w:p>
    <w:p>
      <w:pPr>
        <w:spacing w:line="360" w:lineRule="auto"/>
        <w:ind w:left="567" w:hanging="567"/>
        <w:jc w:val="both"/>
        <w:rPr>
          <w:rFonts w:hAnsi="宋体"/>
          <w:color w:val="auto"/>
          <w:sz w:val="21"/>
          <w:szCs w:val="21"/>
          <w:highlight w:val="none"/>
        </w:rPr>
      </w:pPr>
      <w:r>
        <w:rPr>
          <w:rFonts w:hint="eastAsia" w:hAnsi="宋体"/>
          <w:color w:val="auto"/>
          <w:sz w:val="21"/>
          <w:szCs w:val="21"/>
          <w:highlight w:val="none"/>
        </w:rPr>
        <w:t>22</w:t>
      </w:r>
      <w:r>
        <w:rPr>
          <w:rFonts w:hAnsi="宋体"/>
          <w:color w:val="auto"/>
          <w:sz w:val="21"/>
          <w:szCs w:val="21"/>
          <w:highlight w:val="none"/>
        </w:rPr>
        <w:t>.</w:t>
      </w:r>
      <w:r>
        <w:rPr>
          <w:rFonts w:hint="eastAsia" w:hAnsi="宋体"/>
          <w:color w:val="auto"/>
          <w:sz w:val="21"/>
          <w:szCs w:val="21"/>
          <w:highlight w:val="none"/>
        </w:rPr>
        <w:t>6</w:t>
      </w:r>
      <w:r>
        <w:rPr>
          <w:rFonts w:hAnsi="宋体"/>
          <w:color w:val="auto"/>
          <w:sz w:val="21"/>
          <w:szCs w:val="21"/>
          <w:highlight w:val="none"/>
        </w:rPr>
        <w:tab/>
      </w:r>
      <w:r>
        <w:rPr>
          <w:rFonts w:hint="eastAsia" w:hAnsi="宋体"/>
          <w:color w:val="auto"/>
          <w:sz w:val="21"/>
          <w:szCs w:val="21"/>
          <w:highlight w:val="none"/>
        </w:rPr>
        <w:t>响应文件建议采用双面印制（图纸除外）。</w:t>
      </w:r>
    </w:p>
    <w:p>
      <w:pPr>
        <w:tabs>
          <w:tab w:val="left" w:pos="567"/>
        </w:tabs>
        <w:spacing w:line="360" w:lineRule="auto"/>
        <w:ind w:left="567" w:hanging="567"/>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23</w:t>
      </w:r>
      <w:r>
        <w:rPr>
          <w:rFonts w:hAnsi="宋体"/>
          <w:b/>
          <w:color w:val="auto"/>
          <w:kern w:val="2"/>
          <w:sz w:val="21"/>
          <w:szCs w:val="21"/>
          <w:highlight w:val="none"/>
          <w:lang w:val="zh-CN"/>
        </w:rPr>
        <w:tab/>
      </w:r>
      <w:r>
        <w:rPr>
          <w:rFonts w:hint="eastAsia" w:hAnsi="宋体"/>
          <w:b/>
          <w:color w:val="auto"/>
          <w:kern w:val="2"/>
          <w:sz w:val="21"/>
          <w:szCs w:val="21"/>
          <w:highlight w:val="none"/>
          <w:lang w:val="zh-CN"/>
        </w:rPr>
        <w:t>响应文件的密封和标记</w:t>
      </w:r>
    </w:p>
    <w:p>
      <w:pPr>
        <w:tabs>
          <w:tab w:val="left" w:pos="567"/>
        </w:tabs>
        <w:spacing w:line="360" w:lineRule="auto"/>
        <w:ind w:left="567" w:right="18"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23</w:t>
      </w:r>
      <w:r>
        <w:rPr>
          <w:rFonts w:hAnsi="宋体"/>
          <w:color w:val="auto"/>
          <w:kern w:val="2"/>
          <w:sz w:val="21"/>
          <w:szCs w:val="21"/>
          <w:highlight w:val="none"/>
          <w:lang w:val="zh-CN"/>
        </w:rPr>
        <w:t>.1</w:t>
      </w:r>
      <w:r>
        <w:rPr>
          <w:rFonts w:hAnsi="宋体"/>
          <w:color w:val="auto"/>
          <w:kern w:val="2"/>
          <w:sz w:val="21"/>
          <w:szCs w:val="21"/>
          <w:highlight w:val="none"/>
          <w:lang w:val="zh-CN"/>
        </w:rPr>
        <w:tab/>
      </w:r>
      <w:r>
        <w:rPr>
          <w:rFonts w:hint="eastAsia" w:hAnsi="宋体"/>
          <w:color w:val="auto"/>
          <w:kern w:val="2"/>
          <w:sz w:val="21"/>
          <w:szCs w:val="21"/>
          <w:highlight w:val="none"/>
          <w:lang w:val="zh-CN"/>
        </w:rPr>
        <w:t>供应商应将响应文件、报价信封分开单独密封包装。在密封袋上标明“响应文件”、“报价信封”的字样，并在密封袋的封口处加盖供应商公章。</w:t>
      </w:r>
    </w:p>
    <w:p>
      <w:pPr>
        <w:tabs>
          <w:tab w:val="left" w:pos="567"/>
        </w:tabs>
        <w:spacing w:line="360" w:lineRule="auto"/>
        <w:ind w:left="567" w:right="18"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23</w:t>
      </w:r>
      <w:r>
        <w:rPr>
          <w:rFonts w:hAnsi="宋体"/>
          <w:color w:val="auto"/>
          <w:kern w:val="2"/>
          <w:sz w:val="21"/>
          <w:szCs w:val="21"/>
          <w:highlight w:val="none"/>
          <w:lang w:val="zh-CN"/>
        </w:rPr>
        <w:t>.</w:t>
      </w:r>
      <w:r>
        <w:rPr>
          <w:rFonts w:hint="eastAsia" w:hAnsi="宋体"/>
          <w:color w:val="auto"/>
          <w:kern w:val="2"/>
          <w:sz w:val="21"/>
          <w:szCs w:val="21"/>
          <w:highlight w:val="none"/>
          <w:lang w:val="zh-CN"/>
        </w:rPr>
        <w:t>2</w:t>
      </w:r>
      <w:r>
        <w:rPr>
          <w:rFonts w:hAnsi="宋体"/>
          <w:color w:val="auto"/>
          <w:kern w:val="2"/>
          <w:sz w:val="21"/>
          <w:szCs w:val="21"/>
          <w:highlight w:val="none"/>
          <w:lang w:val="zh-CN"/>
        </w:rPr>
        <w:tab/>
      </w:r>
      <w:r>
        <w:rPr>
          <w:rFonts w:hint="eastAsia" w:hAnsi="宋体"/>
          <w:color w:val="auto"/>
          <w:kern w:val="2"/>
          <w:sz w:val="21"/>
          <w:szCs w:val="21"/>
          <w:highlight w:val="none"/>
          <w:lang w:val="zh-CN"/>
        </w:rPr>
        <w:t>在响应文件密封袋上均应标明以下内容：</w:t>
      </w:r>
    </w:p>
    <w:p>
      <w:pPr>
        <w:tabs>
          <w:tab w:val="left" w:pos="567"/>
        </w:tabs>
        <w:spacing w:line="360" w:lineRule="auto"/>
        <w:ind w:left="120" w:leftChars="50" w:right="18" w:firstLine="420" w:firstLine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(1) 项目名称：</w:t>
      </w:r>
      <w:r>
        <w:rPr>
          <w:rFonts w:hint="eastAsia" w:hAnsi="宋体"/>
          <w:color w:val="auto"/>
          <w:kern w:val="2"/>
          <w:sz w:val="21"/>
          <w:szCs w:val="21"/>
          <w:highlight w:val="none"/>
          <w:u w:val="single"/>
          <w:lang w:val="zh-CN"/>
        </w:rPr>
        <w:t xml:space="preserve">               </w:t>
      </w:r>
      <w:r>
        <w:rPr>
          <w:rFonts w:hint="eastAsia" w:hAnsi="宋体"/>
          <w:color w:val="auto"/>
          <w:kern w:val="2"/>
          <w:sz w:val="21"/>
          <w:szCs w:val="21"/>
          <w:highlight w:val="none"/>
          <w:lang w:val="zh-CN"/>
        </w:rPr>
        <w:t>；</w:t>
      </w:r>
    </w:p>
    <w:p>
      <w:pPr>
        <w:tabs>
          <w:tab w:val="left" w:pos="567"/>
        </w:tabs>
        <w:spacing w:line="360" w:lineRule="auto"/>
        <w:ind w:left="120" w:leftChars="50" w:right="18" w:firstLine="420" w:firstLine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(2) 项目编号：</w:t>
      </w:r>
      <w:r>
        <w:rPr>
          <w:rFonts w:hint="eastAsia" w:hAnsi="宋体"/>
          <w:color w:val="auto"/>
          <w:kern w:val="2"/>
          <w:sz w:val="21"/>
          <w:szCs w:val="21"/>
          <w:highlight w:val="none"/>
          <w:u w:val="single"/>
          <w:lang w:val="zh-CN"/>
        </w:rPr>
        <w:t xml:space="preserve">               </w:t>
      </w:r>
      <w:r>
        <w:rPr>
          <w:rFonts w:hint="eastAsia" w:hAnsi="宋体"/>
          <w:color w:val="auto"/>
          <w:kern w:val="2"/>
          <w:sz w:val="21"/>
          <w:szCs w:val="21"/>
          <w:highlight w:val="none"/>
          <w:lang w:val="zh-CN"/>
        </w:rPr>
        <w:t>；</w:t>
      </w:r>
    </w:p>
    <w:p>
      <w:pPr>
        <w:tabs>
          <w:tab w:val="left" w:pos="567"/>
        </w:tabs>
        <w:spacing w:line="360" w:lineRule="auto"/>
        <w:ind w:left="120" w:leftChars="50" w:right="18" w:firstLine="420" w:firstLine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(3) 供应商名称：</w:t>
      </w:r>
      <w:r>
        <w:rPr>
          <w:rFonts w:hint="eastAsia" w:hAnsi="宋体"/>
          <w:color w:val="auto"/>
          <w:kern w:val="2"/>
          <w:sz w:val="21"/>
          <w:szCs w:val="21"/>
          <w:highlight w:val="none"/>
          <w:u w:val="single"/>
          <w:lang w:val="zh-CN"/>
        </w:rPr>
        <w:t xml:space="preserve">             </w:t>
      </w:r>
      <w:r>
        <w:rPr>
          <w:rFonts w:hint="eastAsia" w:hAnsi="宋体"/>
          <w:color w:val="auto"/>
          <w:kern w:val="2"/>
          <w:sz w:val="21"/>
          <w:szCs w:val="21"/>
          <w:highlight w:val="none"/>
          <w:lang w:val="zh-CN"/>
        </w:rPr>
        <w:t>；</w:t>
      </w:r>
    </w:p>
    <w:p>
      <w:pPr>
        <w:tabs>
          <w:tab w:val="left" w:pos="567"/>
        </w:tabs>
        <w:spacing w:line="360" w:lineRule="auto"/>
        <w:ind w:left="120" w:leftChars="50" w:right="18" w:firstLine="420" w:firstLine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(4) 供应商地址：</w:t>
      </w:r>
      <w:r>
        <w:rPr>
          <w:rFonts w:hint="eastAsia" w:hAnsi="宋体"/>
          <w:color w:val="auto"/>
          <w:kern w:val="2"/>
          <w:sz w:val="21"/>
          <w:szCs w:val="21"/>
          <w:highlight w:val="none"/>
          <w:u w:val="single"/>
          <w:lang w:val="zh-CN"/>
        </w:rPr>
        <w:t xml:space="preserve">             </w:t>
      </w:r>
      <w:r>
        <w:rPr>
          <w:rFonts w:hint="eastAsia" w:hAnsi="宋体"/>
          <w:color w:val="auto"/>
          <w:kern w:val="2"/>
          <w:sz w:val="21"/>
          <w:szCs w:val="21"/>
          <w:highlight w:val="none"/>
          <w:lang w:val="zh-CN"/>
        </w:rPr>
        <w:t>；</w:t>
      </w:r>
    </w:p>
    <w:p>
      <w:pPr>
        <w:tabs>
          <w:tab w:val="left" w:pos="567"/>
        </w:tabs>
        <w:spacing w:line="360" w:lineRule="auto"/>
        <w:ind w:left="120" w:leftChars="50" w:right="18" w:firstLine="420" w:firstLine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(5) 响应文件提交截止时间</w:t>
      </w:r>
      <w:r>
        <w:rPr>
          <w:rFonts w:hint="eastAsia" w:hAnsi="宋体"/>
          <w:color w:val="auto"/>
          <w:kern w:val="2"/>
          <w:sz w:val="21"/>
          <w:szCs w:val="21"/>
          <w:highlight w:val="none"/>
          <w:u w:val="single"/>
          <w:lang w:val="zh-CN"/>
        </w:rPr>
        <w:t xml:space="preserve">    </w:t>
      </w:r>
      <w:r>
        <w:rPr>
          <w:rFonts w:hint="eastAsia" w:hAnsi="宋体"/>
          <w:color w:val="auto"/>
          <w:kern w:val="2"/>
          <w:sz w:val="21"/>
          <w:szCs w:val="21"/>
          <w:highlight w:val="none"/>
          <w:lang w:val="zh-CN"/>
        </w:rPr>
        <w:t>年</w:t>
      </w:r>
      <w:r>
        <w:rPr>
          <w:rFonts w:hint="eastAsia" w:hAnsi="宋体"/>
          <w:color w:val="auto"/>
          <w:kern w:val="2"/>
          <w:sz w:val="21"/>
          <w:szCs w:val="21"/>
          <w:highlight w:val="none"/>
          <w:u w:val="single"/>
          <w:lang w:val="zh-CN"/>
        </w:rPr>
        <w:t xml:space="preserve">  </w:t>
      </w:r>
      <w:r>
        <w:rPr>
          <w:rFonts w:hint="eastAsia" w:hAnsi="宋体"/>
          <w:color w:val="auto"/>
          <w:kern w:val="2"/>
          <w:sz w:val="21"/>
          <w:szCs w:val="21"/>
          <w:highlight w:val="none"/>
          <w:lang w:val="zh-CN"/>
        </w:rPr>
        <w:t>月</w:t>
      </w:r>
      <w:r>
        <w:rPr>
          <w:rFonts w:hint="eastAsia" w:hAnsi="宋体"/>
          <w:color w:val="auto"/>
          <w:kern w:val="2"/>
          <w:sz w:val="21"/>
          <w:szCs w:val="21"/>
          <w:highlight w:val="none"/>
          <w:u w:val="single"/>
          <w:lang w:val="zh-CN"/>
        </w:rPr>
        <w:t xml:space="preserve">  </w:t>
      </w:r>
      <w:r>
        <w:rPr>
          <w:rFonts w:hint="eastAsia" w:hAnsi="宋体"/>
          <w:color w:val="auto"/>
          <w:kern w:val="2"/>
          <w:sz w:val="21"/>
          <w:szCs w:val="21"/>
          <w:highlight w:val="none"/>
          <w:lang w:val="zh-CN"/>
        </w:rPr>
        <w:t>日</w:t>
      </w:r>
      <w:r>
        <w:rPr>
          <w:rFonts w:hint="eastAsia" w:hAnsi="宋体"/>
          <w:color w:val="auto"/>
          <w:kern w:val="2"/>
          <w:sz w:val="21"/>
          <w:szCs w:val="21"/>
          <w:highlight w:val="none"/>
          <w:u w:val="single"/>
          <w:lang w:val="zh-CN"/>
        </w:rPr>
        <w:t xml:space="preserve">  </w:t>
      </w:r>
      <w:r>
        <w:rPr>
          <w:rFonts w:hint="eastAsia" w:hAnsi="宋体"/>
          <w:color w:val="auto"/>
          <w:kern w:val="2"/>
          <w:sz w:val="21"/>
          <w:szCs w:val="21"/>
          <w:highlight w:val="none"/>
          <w:lang w:val="zh-CN"/>
        </w:rPr>
        <w:t>时</w:t>
      </w:r>
      <w:r>
        <w:rPr>
          <w:rFonts w:hint="eastAsia" w:hAnsi="宋体"/>
          <w:color w:val="auto"/>
          <w:kern w:val="2"/>
          <w:sz w:val="21"/>
          <w:szCs w:val="21"/>
          <w:highlight w:val="none"/>
          <w:u w:val="single"/>
          <w:lang w:val="zh-CN"/>
        </w:rPr>
        <w:t xml:space="preserve">  </w:t>
      </w:r>
      <w:r>
        <w:rPr>
          <w:rFonts w:hint="eastAsia" w:hAnsi="宋体"/>
          <w:color w:val="auto"/>
          <w:kern w:val="2"/>
          <w:sz w:val="21"/>
          <w:szCs w:val="21"/>
          <w:highlight w:val="none"/>
          <w:lang w:val="zh-CN"/>
        </w:rPr>
        <w:t>分之前不得启封。</w:t>
      </w:r>
    </w:p>
    <w:p>
      <w:pPr>
        <w:tabs>
          <w:tab w:val="left" w:pos="567"/>
        </w:tabs>
        <w:spacing w:line="360" w:lineRule="auto"/>
        <w:ind w:left="567" w:right="18"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23</w:t>
      </w:r>
      <w:r>
        <w:rPr>
          <w:rFonts w:hAnsi="宋体"/>
          <w:color w:val="auto"/>
          <w:kern w:val="2"/>
          <w:sz w:val="21"/>
          <w:szCs w:val="21"/>
          <w:highlight w:val="none"/>
          <w:lang w:val="zh-CN"/>
        </w:rPr>
        <w:t>.</w:t>
      </w:r>
      <w:r>
        <w:rPr>
          <w:rFonts w:hint="eastAsia" w:hAnsi="宋体"/>
          <w:color w:val="auto"/>
          <w:kern w:val="2"/>
          <w:sz w:val="21"/>
          <w:szCs w:val="21"/>
          <w:highlight w:val="none"/>
          <w:lang w:val="zh-CN"/>
        </w:rPr>
        <w:t>3</w:t>
      </w:r>
      <w:r>
        <w:rPr>
          <w:rFonts w:hAnsi="宋体"/>
          <w:color w:val="auto"/>
          <w:kern w:val="2"/>
          <w:sz w:val="21"/>
          <w:szCs w:val="21"/>
          <w:highlight w:val="none"/>
          <w:lang w:val="zh-CN"/>
        </w:rPr>
        <w:tab/>
      </w:r>
      <w:r>
        <w:rPr>
          <w:rFonts w:hint="eastAsia" w:hAnsi="宋体"/>
          <w:color w:val="auto"/>
          <w:kern w:val="2"/>
          <w:sz w:val="21"/>
          <w:szCs w:val="21"/>
          <w:highlight w:val="none"/>
          <w:lang w:val="zh-CN"/>
        </w:rPr>
        <w:t>如果因密封封装未按本款规定密封和标记，导致采购代理机构对响应文件误投、提前拆封或错放的，由供应商承担责任。对由此造成提前开封的响应文件，采购代理机构予以拒绝，并退回供应商。</w:t>
      </w:r>
    </w:p>
    <w:p>
      <w:pPr>
        <w:pStyle w:val="4"/>
        <w:spacing w:line="360" w:lineRule="auto"/>
        <w:rPr>
          <w:rFonts w:hAnsi="宋体"/>
          <w:b/>
          <w:bCs/>
          <w:color w:val="auto"/>
          <w:kern w:val="44"/>
          <w:sz w:val="21"/>
          <w:szCs w:val="21"/>
          <w:highlight w:val="none"/>
          <w:lang w:val="zh-CN"/>
        </w:rPr>
      </w:pPr>
      <w:bookmarkStart w:id="70" w:name="_Toc29607"/>
      <w:bookmarkStart w:id="71" w:name="_Toc396137236"/>
      <w:r>
        <w:rPr>
          <w:rFonts w:hint="eastAsia" w:hAnsi="宋体"/>
          <w:b/>
          <w:bCs/>
          <w:color w:val="auto"/>
          <w:kern w:val="44"/>
          <w:sz w:val="21"/>
          <w:szCs w:val="21"/>
          <w:highlight w:val="none"/>
          <w:lang w:val="zh-CN"/>
        </w:rPr>
        <w:t>（四）响应文件的提交</w:t>
      </w:r>
      <w:bookmarkEnd w:id="70"/>
      <w:bookmarkEnd w:id="71"/>
    </w:p>
    <w:p>
      <w:pPr>
        <w:tabs>
          <w:tab w:val="left" w:pos="567"/>
        </w:tabs>
        <w:spacing w:line="360" w:lineRule="auto"/>
        <w:ind w:left="567" w:hanging="567"/>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24</w:t>
      </w:r>
      <w:r>
        <w:rPr>
          <w:rFonts w:hAnsi="宋体"/>
          <w:b/>
          <w:color w:val="auto"/>
          <w:kern w:val="2"/>
          <w:sz w:val="21"/>
          <w:szCs w:val="21"/>
          <w:highlight w:val="none"/>
          <w:lang w:val="zh-CN"/>
        </w:rPr>
        <w:tab/>
      </w:r>
      <w:r>
        <w:rPr>
          <w:rFonts w:hint="eastAsia" w:hAnsi="宋体"/>
          <w:b/>
          <w:bCs/>
          <w:color w:val="auto"/>
          <w:sz w:val="21"/>
          <w:szCs w:val="21"/>
          <w:highlight w:val="none"/>
        </w:rPr>
        <w:t>响应文件的提交</w:t>
      </w:r>
    </w:p>
    <w:p>
      <w:pPr>
        <w:spacing w:line="360" w:lineRule="auto"/>
        <w:ind w:left="567" w:right="18" w:hanging="567"/>
        <w:jc w:val="both"/>
        <w:rPr>
          <w:rFonts w:hAnsi="宋体"/>
          <w:color w:val="auto"/>
          <w:kern w:val="2"/>
          <w:sz w:val="21"/>
          <w:szCs w:val="21"/>
          <w:highlight w:val="none"/>
          <w:lang w:val="zh-CN"/>
        </w:rPr>
      </w:pPr>
      <w:r>
        <w:rPr>
          <w:rFonts w:hAnsi="宋体"/>
          <w:color w:val="auto"/>
          <w:kern w:val="2"/>
          <w:sz w:val="21"/>
          <w:szCs w:val="21"/>
          <w:highlight w:val="none"/>
          <w:lang w:val="zh-CN"/>
        </w:rPr>
        <w:t>2</w:t>
      </w:r>
      <w:r>
        <w:rPr>
          <w:rFonts w:hint="eastAsia" w:hAnsi="宋体"/>
          <w:color w:val="auto"/>
          <w:kern w:val="2"/>
          <w:sz w:val="21"/>
          <w:szCs w:val="21"/>
          <w:highlight w:val="none"/>
          <w:lang w:val="zh-CN"/>
        </w:rPr>
        <w:t>4</w:t>
      </w:r>
      <w:r>
        <w:rPr>
          <w:rFonts w:hAnsi="宋体"/>
          <w:color w:val="auto"/>
          <w:kern w:val="2"/>
          <w:sz w:val="21"/>
          <w:szCs w:val="21"/>
          <w:highlight w:val="none"/>
          <w:lang w:val="zh-CN"/>
        </w:rPr>
        <w:t>.1</w:t>
      </w:r>
      <w:r>
        <w:rPr>
          <w:rFonts w:hAnsi="宋体"/>
          <w:color w:val="auto"/>
          <w:kern w:val="2"/>
          <w:sz w:val="21"/>
          <w:szCs w:val="21"/>
          <w:highlight w:val="none"/>
          <w:lang w:val="zh-CN"/>
        </w:rPr>
        <w:tab/>
      </w:r>
      <w:r>
        <w:rPr>
          <w:rFonts w:hint="eastAsia" w:hAnsi="宋体"/>
          <w:color w:val="auto"/>
          <w:kern w:val="2"/>
          <w:sz w:val="21"/>
          <w:szCs w:val="21"/>
          <w:highlight w:val="none"/>
          <w:lang w:val="zh-CN"/>
        </w:rPr>
        <w:t>在响应文件提交截止时间前，时间以北京时间为准递交，投标截止时间结束后将拒绝接收。</w:t>
      </w:r>
    </w:p>
    <w:p>
      <w:pPr>
        <w:spacing w:line="360" w:lineRule="auto"/>
        <w:ind w:left="567" w:right="18" w:hanging="567"/>
        <w:jc w:val="both"/>
        <w:rPr>
          <w:rFonts w:hAnsi="宋体"/>
          <w:color w:val="auto"/>
          <w:kern w:val="2"/>
          <w:sz w:val="21"/>
          <w:szCs w:val="21"/>
          <w:highlight w:val="none"/>
          <w:lang w:val="zh-CN"/>
        </w:rPr>
      </w:pPr>
      <w:r>
        <w:rPr>
          <w:rFonts w:hAnsi="宋体"/>
          <w:color w:val="auto"/>
          <w:kern w:val="2"/>
          <w:sz w:val="21"/>
          <w:szCs w:val="21"/>
          <w:highlight w:val="none"/>
          <w:lang w:val="zh-CN"/>
        </w:rPr>
        <w:t>2</w:t>
      </w:r>
      <w:r>
        <w:rPr>
          <w:rFonts w:hint="eastAsia" w:hAnsi="宋体"/>
          <w:color w:val="auto"/>
          <w:kern w:val="2"/>
          <w:sz w:val="21"/>
          <w:szCs w:val="21"/>
          <w:highlight w:val="none"/>
          <w:lang w:val="zh-CN"/>
        </w:rPr>
        <w:t>4</w:t>
      </w:r>
      <w:r>
        <w:rPr>
          <w:rFonts w:hAnsi="宋体"/>
          <w:color w:val="auto"/>
          <w:kern w:val="2"/>
          <w:sz w:val="21"/>
          <w:szCs w:val="21"/>
          <w:highlight w:val="none"/>
          <w:lang w:val="zh-CN"/>
        </w:rPr>
        <w:t>.</w:t>
      </w:r>
      <w:r>
        <w:rPr>
          <w:rFonts w:hint="eastAsia" w:hAnsi="宋体"/>
          <w:color w:val="auto"/>
          <w:kern w:val="2"/>
          <w:sz w:val="21"/>
          <w:szCs w:val="21"/>
          <w:highlight w:val="none"/>
          <w:lang w:val="zh-CN"/>
        </w:rPr>
        <w:t>2</w:t>
      </w:r>
      <w:r>
        <w:rPr>
          <w:rFonts w:hAnsi="宋体"/>
          <w:color w:val="auto"/>
          <w:kern w:val="2"/>
          <w:sz w:val="21"/>
          <w:szCs w:val="21"/>
          <w:highlight w:val="none"/>
          <w:lang w:val="zh-CN"/>
        </w:rPr>
        <w:tab/>
      </w:r>
      <w:r>
        <w:rPr>
          <w:rFonts w:hint="eastAsia" w:hAnsi="宋体"/>
          <w:color w:val="auto"/>
          <w:kern w:val="2"/>
          <w:sz w:val="21"/>
          <w:szCs w:val="21"/>
          <w:highlight w:val="none"/>
          <w:lang w:val="zh-CN"/>
        </w:rPr>
        <w:t>代理机构对因不可抗力事件造成的响应文件的损坏、丢失的，不承担责任。</w:t>
      </w:r>
    </w:p>
    <w:p>
      <w:pPr>
        <w:spacing w:line="360" w:lineRule="auto"/>
        <w:ind w:left="567" w:right="18" w:hanging="567"/>
        <w:jc w:val="both"/>
        <w:rPr>
          <w:rFonts w:hAnsi="宋体"/>
          <w:color w:val="auto"/>
          <w:kern w:val="2"/>
          <w:sz w:val="21"/>
          <w:szCs w:val="21"/>
          <w:highlight w:val="none"/>
          <w:lang w:val="zh-CN"/>
        </w:rPr>
      </w:pPr>
      <w:r>
        <w:rPr>
          <w:rFonts w:hAnsi="宋体"/>
          <w:color w:val="auto"/>
          <w:kern w:val="2"/>
          <w:sz w:val="21"/>
          <w:szCs w:val="21"/>
          <w:highlight w:val="none"/>
          <w:lang w:val="zh-CN"/>
        </w:rPr>
        <w:t>2</w:t>
      </w:r>
      <w:r>
        <w:rPr>
          <w:rFonts w:hint="eastAsia" w:hAnsi="宋体"/>
          <w:color w:val="auto"/>
          <w:kern w:val="2"/>
          <w:sz w:val="21"/>
          <w:szCs w:val="21"/>
          <w:highlight w:val="none"/>
          <w:lang w:val="zh-CN"/>
        </w:rPr>
        <w:t>4</w:t>
      </w:r>
      <w:r>
        <w:rPr>
          <w:rFonts w:hAnsi="宋体"/>
          <w:color w:val="auto"/>
          <w:kern w:val="2"/>
          <w:sz w:val="21"/>
          <w:szCs w:val="21"/>
          <w:highlight w:val="none"/>
          <w:lang w:val="zh-CN"/>
        </w:rPr>
        <w:t>.</w:t>
      </w:r>
      <w:r>
        <w:rPr>
          <w:rFonts w:hint="eastAsia" w:hAnsi="宋体"/>
          <w:color w:val="auto"/>
          <w:kern w:val="2"/>
          <w:sz w:val="21"/>
          <w:szCs w:val="21"/>
          <w:highlight w:val="none"/>
          <w:lang w:val="zh-CN"/>
        </w:rPr>
        <w:t>3</w:t>
      </w:r>
      <w:r>
        <w:rPr>
          <w:rFonts w:hAnsi="宋体"/>
          <w:color w:val="auto"/>
          <w:kern w:val="2"/>
          <w:sz w:val="21"/>
          <w:szCs w:val="21"/>
          <w:highlight w:val="none"/>
          <w:lang w:val="zh-CN"/>
        </w:rPr>
        <w:tab/>
      </w:r>
      <w:r>
        <w:rPr>
          <w:rFonts w:hint="eastAsia" w:hAnsi="宋体"/>
          <w:color w:val="auto"/>
          <w:kern w:val="2"/>
          <w:sz w:val="21"/>
          <w:szCs w:val="21"/>
          <w:highlight w:val="none"/>
          <w:lang w:val="zh-CN"/>
        </w:rPr>
        <w:t>出现下述情形之一，属于未成功提交响应文件，按无效投标处理：</w:t>
      </w:r>
    </w:p>
    <w:p>
      <w:pPr>
        <w:tabs>
          <w:tab w:val="left" w:pos="567"/>
        </w:tabs>
        <w:spacing w:line="360" w:lineRule="auto"/>
        <w:ind w:left="480" w:left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（1）至提交响应文件截止时，响应文件不完整的。</w:t>
      </w:r>
    </w:p>
    <w:p>
      <w:pPr>
        <w:tabs>
          <w:tab w:val="left" w:pos="567"/>
        </w:tabs>
        <w:spacing w:line="360" w:lineRule="auto"/>
        <w:ind w:left="480" w:left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（2）响应文件未按投标格式中注明需签字盖章的要求进行签名和加盖印章，或签名或印章不完整的。</w:t>
      </w:r>
    </w:p>
    <w:p>
      <w:pPr>
        <w:tabs>
          <w:tab w:val="left" w:pos="567"/>
        </w:tabs>
        <w:spacing w:line="360" w:lineRule="auto"/>
        <w:ind w:left="480" w:left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（3）响应文件损坏或格式不正确的。</w:t>
      </w:r>
    </w:p>
    <w:p>
      <w:pPr>
        <w:tabs>
          <w:tab w:val="left" w:pos="567"/>
        </w:tabs>
        <w:spacing w:line="360" w:lineRule="auto"/>
        <w:ind w:left="567" w:hanging="567"/>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25</w:t>
      </w:r>
      <w:r>
        <w:rPr>
          <w:rFonts w:hAnsi="宋体"/>
          <w:b/>
          <w:color w:val="auto"/>
          <w:kern w:val="2"/>
          <w:sz w:val="21"/>
          <w:szCs w:val="21"/>
          <w:highlight w:val="none"/>
          <w:lang w:val="zh-CN"/>
        </w:rPr>
        <w:tab/>
      </w:r>
      <w:r>
        <w:rPr>
          <w:rFonts w:hint="eastAsia" w:hAnsi="宋体"/>
          <w:b/>
          <w:color w:val="auto"/>
          <w:kern w:val="2"/>
          <w:sz w:val="21"/>
          <w:szCs w:val="21"/>
          <w:highlight w:val="none"/>
          <w:lang w:val="zh-CN"/>
        </w:rPr>
        <w:t>响应文件的补充、修改或者撤回</w:t>
      </w:r>
    </w:p>
    <w:p>
      <w:pPr>
        <w:spacing w:line="360" w:lineRule="auto"/>
        <w:ind w:left="567" w:right="18"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25.1</w:t>
      </w:r>
      <w:r>
        <w:rPr>
          <w:rFonts w:hint="eastAsia" w:hAnsi="宋体"/>
          <w:color w:val="auto"/>
          <w:kern w:val="2"/>
          <w:sz w:val="21"/>
          <w:szCs w:val="21"/>
          <w:highlight w:val="none"/>
          <w:lang w:val="zh-CN"/>
        </w:rPr>
        <w:tab/>
      </w:r>
      <w:r>
        <w:rPr>
          <w:rFonts w:hint="eastAsia" w:hAnsi="宋体"/>
          <w:color w:val="auto"/>
          <w:kern w:val="2"/>
          <w:sz w:val="21"/>
          <w:szCs w:val="21"/>
          <w:highlight w:val="none"/>
          <w:lang w:val="zh-CN"/>
        </w:rPr>
        <w:t>在提交响应文件截止时间前，供应商可以修改或撤回未解密的响应文件，到达响应文件提交截止时间后，将不允许修改或撤回。</w:t>
      </w:r>
    </w:p>
    <w:p>
      <w:pPr>
        <w:spacing w:line="360" w:lineRule="auto"/>
        <w:ind w:left="567" w:right="18"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25.2</w:t>
      </w:r>
      <w:r>
        <w:rPr>
          <w:rFonts w:hint="eastAsia" w:hAnsi="宋体"/>
          <w:color w:val="auto"/>
          <w:kern w:val="2"/>
          <w:sz w:val="21"/>
          <w:szCs w:val="21"/>
          <w:highlight w:val="none"/>
          <w:lang w:val="zh-CN"/>
        </w:rPr>
        <w:tab/>
      </w:r>
      <w:r>
        <w:rPr>
          <w:rFonts w:hint="eastAsia" w:hAnsi="宋体"/>
          <w:color w:val="auto"/>
          <w:kern w:val="2"/>
          <w:sz w:val="21"/>
          <w:szCs w:val="21"/>
          <w:highlight w:val="none"/>
          <w:lang w:val="zh-CN"/>
        </w:rPr>
        <w:t>在提交响应文件截止时间后，供应商不得补充、修改和更换响应文件。</w:t>
      </w:r>
    </w:p>
    <w:p>
      <w:pPr>
        <w:tabs>
          <w:tab w:val="left" w:pos="567"/>
        </w:tabs>
        <w:spacing w:line="360" w:lineRule="auto"/>
        <w:ind w:left="567" w:hanging="567"/>
        <w:jc w:val="both"/>
        <w:rPr>
          <w:rFonts w:hAnsi="宋体"/>
          <w:b/>
          <w:color w:val="auto"/>
          <w:kern w:val="2"/>
          <w:sz w:val="21"/>
          <w:szCs w:val="21"/>
          <w:highlight w:val="none"/>
          <w:lang w:val="zh-CN"/>
        </w:rPr>
      </w:pPr>
      <w:r>
        <w:rPr>
          <w:rFonts w:hAnsi="宋体"/>
          <w:b/>
          <w:color w:val="auto"/>
          <w:kern w:val="2"/>
          <w:sz w:val="21"/>
          <w:szCs w:val="21"/>
          <w:highlight w:val="none"/>
          <w:lang w:val="zh-CN"/>
        </w:rPr>
        <w:t>2</w:t>
      </w:r>
      <w:r>
        <w:rPr>
          <w:rFonts w:hint="eastAsia" w:hAnsi="宋体"/>
          <w:b/>
          <w:color w:val="auto"/>
          <w:kern w:val="2"/>
          <w:sz w:val="21"/>
          <w:szCs w:val="21"/>
          <w:highlight w:val="none"/>
          <w:lang w:val="zh-CN"/>
        </w:rPr>
        <w:t>6</w:t>
      </w:r>
      <w:r>
        <w:rPr>
          <w:rFonts w:hAnsi="宋体"/>
          <w:b/>
          <w:color w:val="auto"/>
          <w:kern w:val="2"/>
          <w:sz w:val="21"/>
          <w:szCs w:val="21"/>
          <w:highlight w:val="none"/>
          <w:lang w:val="zh-CN"/>
        </w:rPr>
        <w:tab/>
      </w:r>
      <w:r>
        <w:rPr>
          <w:rFonts w:hint="eastAsia" w:hAnsi="宋体"/>
          <w:b/>
          <w:color w:val="auto"/>
          <w:kern w:val="2"/>
          <w:sz w:val="21"/>
          <w:szCs w:val="21"/>
          <w:highlight w:val="none"/>
          <w:lang w:val="zh-CN"/>
        </w:rPr>
        <w:t>样品（演示）（本项目无须提供样品）</w:t>
      </w:r>
    </w:p>
    <w:p>
      <w:pPr>
        <w:spacing w:line="360" w:lineRule="auto"/>
        <w:ind w:left="567" w:right="18"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26.1</w:t>
      </w:r>
      <w:r>
        <w:rPr>
          <w:rFonts w:hint="eastAsia" w:hAnsi="宋体"/>
          <w:color w:val="auto"/>
          <w:kern w:val="2"/>
          <w:sz w:val="21"/>
          <w:szCs w:val="21"/>
          <w:highlight w:val="none"/>
          <w:lang w:val="zh-CN"/>
        </w:rPr>
        <w:tab/>
      </w:r>
      <w:r>
        <w:rPr>
          <w:rFonts w:hint="eastAsia" w:hAnsi="宋体"/>
          <w:color w:val="auto"/>
          <w:kern w:val="2"/>
          <w:sz w:val="21"/>
          <w:szCs w:val="21"/>
          <w:highlight w:val="none"/>
          <w:lang w:val="zh-CN"/>
        </w:rPr>
        <w:t>磋商文件规定供应商提交样品的，样品属于响应文件的组成部分。样品的生产、运输、安装、保全等一切费用由供应商自理。</w:t>
      </w:r>
    </w:p>
    <w:p>
      <w:pPr>
        <w:spacing w:line="360" w:lineRule="auto"/>
        <w:ind w:left="567" w:right="18"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26.2</w:t>
      </w:r>
      <w:r>
        <w:rPr>
          <w:rFonts w:hint="eastAsia" w:hAnsi="宋体"/>
          <w:color w:val="auto"/>
          <w:kern w:val="2"/>
          <w:sz w:val="21"/>
          <w:szCs w:val="21"/>
          <w:highlight w:val="none"/>
          <w:lang w:val="zh-CN"/>
        </w:rPr>
        <w:tab/>
      </w:r>
      <w:r>
        <w:rPr>
          <w:rFonts w:hint="eastAsia" w:hAnsi="宋体"/>
          <w:color w:val="auto"/>
          <w:kern w:val="2"/>
          <w:sz w:val="21"/>
          <w:szCs w:val="21"/>
          <w:highlight w:val="none"/>
          <w:lang w:val="zh-CN"/>
        </w:rPr>
        <w:t>投标截止时间前，供应商应将样品送达至指定地点。若需要现场演示的，供应商应提前做好演示准备（包括演示设备）。</w:t>
      </w:r>
    </w:p>
    <w:p>
      <w:pPr>
        <w:spacing w:line="360" w:lineRule="auto"/>
        <w:ind w:left="567" w:right="18"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26.3</w:t>
      </w:r>
      <w:r>
        <w:rPr>
          <w:rFonts w:hint="eastAsia" w:hAnsi="宋体"/>
          <w:color w:val="auto"/>
          <w:kern w:val="2"/>
          <w:sz w:val="21"/>
          <w:szCs w:val="21"/>
          <w:highlight w:val="none"/>
          <w:lang w:val="zh-CN"/>
        </w:rPr>
        <w:tab/>
      </w:r>
      <w:r>
        <w:rPr>
          <w:rFonts w:hint="eastAsia" w:hAnsi="宋体"/>
          <w:color w:val="auto"/>
          <w:kern w:val="2"/>
          <w:sz w:val="21"/>
          <w:szCs w:val="21"/>
          <w:highlight w:val="none"/>
          <w:lang w:val="zh-CN"/>
        </w:rPr>
        <w:t>采购结果公告发布后，成交供应商的样品由采购人封存，作为履约验收的依据之一。未成交供应商在接到采购代理机构通知后，应按规定时间尽快自行取回样品，否则视同供应商不再认领，代理机构有权进行处理。</w:t>
      </w:r>
    </w:p>
    <w:p>
      <w:pPr>
        <w:pStyle w:val="4"/>
        <w:spacing w:line="360" w:lineRule="auto"/>
        <w:rPr>
          <w:rFonts w:hAnsi="宋体"/>
          <w:b/>
          <w:bCs/>
          <w:color w:val="auto"/>
          <w:kern w:val="44"/>
          <w:sz w:val="21"/>
          <w:szCs w:val="21"/>
          <w:highlight w:val="none"/>
          <w:lang w:val="zh-CN"/>
        </w:rPr>
      </w:pPr>
      <w:bookmarkStart w:id="72" w:name="_Toc396137237"/>
      <w:bookmarkStart w:id="73" w:name="_Toc8553"/>
      <w:r>
        <w:rPr>
          <w:rFonts w:hint="eastAsia" w:hAnsi="宋体"/>
          <w:b/>
          <w:bCs/>
          <w:color w:val="auto"/>
          <w:kern w:val="44"/>
          <w:sz w:val="21"/>
          <w:szCs w:val="21"/>
          <w:highlight w:val="none"/>
          <w:lang w:val="zh-CN"/>
        </w:rPr>
        <w:t>（五）开标和评标</w:t>
      </w:r>
      <w:bookmarkEnd w:id="72"/>
      <w:bookmarkEnd w:id="73"/>
    </w:p>
    <w:p>
      <w:pPr>
        <w:tabs>
          <w:tab w:val="left" w:pos="567"/>
        </w:tabs>
        <w:spacing w:line="360" w:lineRule="auto"/>
        <w:ind w:left="567" w:hanging="567"/>
        <w:jc w:val="both"/>
        <w:rPr>
          <w:rFonts w:hAnsi="宋体"/>
          <w:b/>
          <w:color w:val="auto"/>
          <w:kern w:val="2"/>
          <w:sz w:val="21"/>
          <w:szCs w:val="21"/>
          <w:highlight w:val="none"/>
          <w:lang w:val="zh-CN"/>
        </w:rPr>
      </w:pPr>
      <w:r>
        <w:rPr>
          <w:rFonts w:hAnsi="宋体"/>
          <w:b/>
          <w:color w:val="auto"/>
          <w:kern w:val="2"/>
          <w:sz w:val="21"/>
          <w:szCs w:val="21"/>
          <w:highlight w:val="none"/>
          <w:lang w:val="zh-CN"/>
        </w:rPr>
        <w:t>2</w:t>
      </w:r>
      <w:r>
        <w:rPr>
          <w:rFonts w:hint="eastAsia" w:hAnsi="宋体"/>
          <w:b/>
          <w:color w:val="auto"/>
          <w:kern w:val="2"/>
          <w:sz w:val="21"/>
          <w:szCs w:val="21"/>
          <w:highlight w:val="none"/>
          <w:lang w:val="zh-CN"/>
        </w:rPr>
        <w:t>7</w:t>
      </w:r>
      <w:r>
        <w:rPr>
          <w:rFonts w:hAnsi="宋体"/>
          <w:b/>
          <w:color w:val="auto"/>
          <w:kern w:val="2"/>
          <w:sz w:val="21"/>
          <w:szCs w:val="21"/>
          <w:highlight w:val="none"/>
          <w:lang w:val="zh-CN"/>
        </w:rPr>
        <w:tab/>
      </w:r>
      <w:r>
        <w:rPr>
          <w:rFonts w:hint="eastAsia" w:hAnsi="宋体"/>
          <w:b/>
          <w:color w:val="auto"/>
          <w:kern w:val="2"/>
          <w:sz w:val="21"/>
          <w:szCs w:val="21"/>
          <w:highlight w:val="none"/>
          <w:lang w:val="zh-CN"/>
        </w:rPr>
        <w:t>开标</w:t>
      </w:r>
    </w:p>
    <w:p>
      <w:pPr>
        <w:tabs>
          <w:tab w:val="left" w:pos="567"/>
        </w:tabs>
        <w:spacing w:line="360" w:lineRule="auto"/>
        <w:ind w:left="567" w:right="18" w:hanging="567"/>
        <w:jc w:val="both"/>
        <w:rPr>
          <w:rFonts w:hAnsi="宋体"/>
          <w:color w:val="auto"/>
          <w:kern w:val="2"/>
          <w:sz w:val="21"/>
          <w:szCs w:val="21"/>
          <w:highlight w:val="none"/>
          <w:lang w:val="zh-CN"/>
        </w:rPr>
      </w:pPr>
      <w:r>
        <w:rPr>
          <w:rFonts w:hAnsi="宋体"/>
          <w:color w:val="auto"/>
          <w:kern w:val="2"/>
          <w:sz w:val="21"/>
          <w:szCs w:val="21"/>
          <w:highlight w:val="none"/>
          <w:lang w:val="zh-CN"/>
        </w:rPr>
        <w:t>2</w:t>
      </w:r>
      <w:r>
        <w:rPr>
          <w:rFonts w:hint="eastAsia" w:hAnsi="宋体"/>
          <w:color w:val="auto"/>
          <w:kern w:val="2"/>
          <w:sz w:val="21"/>
          <w:szCs w:val="21"/>
          <w:highlight w:val="none"/>
          <w:lang w:val="zh-CN"/>
        </w:rPr>
        <w:t>7</w:t>
      </w:r>
      <w:r>
        <w:rPr>
          <w:rFonts w:hAnsi="宋体"/>
          <w:color w:val="auto"/>
          <w:kern w:val="2"/>
          <w:sz w:val="21"/>
          <w:szCs w:val="21"/>
          <w:highlight w:val="none"/>
          <w:lang w:val="zh-CN"/>
        </w:rPr>
        <w:t>.1</w:t>
      </w:r>
      <w:r>
        <w:rPr>
          <w:rFonts w:hAnsi="宋体"/>
          <w:color w:val="auto"/>
          <w:kern w:val="2"/>
          <w:sz w:val="21"/>
          <w:szCs w:val="21"/>
          <w:highlight w:val="none"/>
          <w:lang w:val="zh-CN"/>
        </w:rPr>
        <w:tab/>
      </w:r>
      <w:r>
        <w:rPr>
          <w:rFonts w:hint="eastAsia" w:hAnsi="宋体"/>
          <w:color w:val="auto"/>
          <w:kern w:val="2"/>
          <w:sz w:val="21"/>
          <w:szCs w:val="21"/>
          <w:highlight w:val="none"/>
          <w:lang w:val="zh-CN"/>
        </w:rPr>
        <w:t>开标将在</w:t>
      </w:r>
      <w:r>
        <w:rPr>
          <w:rFonts w:hint="eastAsia" w:hAnsi="宋体"/>
          <w:color w:val="auto"/>
          <w:sz w:val="21"/>
          <w:szCs w:val="21"/>
          <w:highlight w:val="none"/>
        </w:rPr>
        <w:t>《供应商须知前附表》</w:t>
      </w:r>
      <w:r>
        <w:rPr>
          <w:rFonts w:hint="eastAsia" w:hAnsi="宋体"/>
          <w:color w:val="auto"/>
          <w:kern w:val="2"/>
          <w:sz w:val="21"/>
          <w:szCs w:val="21"/>
          <w:highlight w:val="none"/>
          <w:lang w:val="zh-CN"/>
        </w:rPr>
        <w:t>确定的提交响应文件截止时间的同一时间进行。开标地点为</w:t>
      </w:r>
      <w:r>
        <w:rPr>
          <w:rFonts w:hint="eastAsia" w:hAnsi="宋体"/>
          <w:color w:val="auto"/>
          <w:sz w:val="21"/>
          <w:szCs w:val="21"/>
          <w:highlight w:val="none"/>
        </w:rPr>
        <w:t>《供应商须知前附表》</w:t>
      </w:r>
      <w:r>
        <w:rPr>
          <w:rFonts w:hint="eastAsia" w:hAnsi="宋体"/>
          <w:color w:val="auto"/>
          <w:kern w:val="2"/>
          <w:sz w:val="21"/>
          <w:szCs w:val="21"/>
          <w:highlight w:val="none"/>
          <w:lang w:val="zh-CN"/>
        </w:rPr>
        <w:t>确定的地点。</w:t>
      </w:r>
    </w:p>
    <w:p>
      <w:pPr>
        <w:tabs>
          <w:tab w:val="left" w:pos="567"/>
        </w:tabs>
        <w:spacing w:line="360" w:lineRule="auto"/>
        <w:ind w:left="567" w:right="18" w:hanging="567"/>
        <w:jc w:val="both"/>
        <w:rPr>
          <w:rFonts w:hAnsi="宋体"/>
          <w:color w:val="auto"/>
          <w:kern w:val="2"/>
          <w:sz w:val="21"/>
          <w:szCs w:val="21"/>
          <w:highlight w:val="none"/>
          <w:lang w:val="zh-CN"/>
        </w:rPr>
      </w:pPr>
      <w:r>
        <w:rPr>
          <w:rFonts w:hAnsi="宋体"/>
          <w:color w:val="auto"/>
          <w:kern w:val="2"/>
          <w:sz w:val="21"/>
          <w:szCs w:val="21"/>
          <w:highlight w:val="none"/>
          <w:lang w:val="zh-CN"/>
        </w:rPr>
        <w:t>2</w:t>
      </w:r>
      <w:r>
        <w:rPr>
          <w:rFonts w:hint="eastAsia" w:hAnsi="宋体"/>
          <w:color w:val="auto"/>
          <w:kern w:val="2"/>
          <w:sz w:val="21"/>
          <w:szCs w:val="21"/>
          <w:highlight w:val="none"/>
          <w:lang w:val="zh-CN"/>
        </w:rPr>
        <w:t>7</w:t>
      </w:r>
      <w:r>
        <w:rPr>
          <w:rFonts w:hAnsi="宋体"/>
          <w:color w:val="auto"/>
          <w:kern w:val="2"/>
          <w:sz w:val="21"/>
          <w:szCs w:val="21"/>
          <w:highlight w:val="none"/>
          <w:lang w:val="zh-CN"/>
        </w:rPr>
        <w:t>.</w:t>
      </w:r>
      <w:r>
        <w:rPr>
          <w:rFonts w:hint="eastAsia" w:hAnsi="宋体"/>
          <w:color w:val="auto"/>
          <w:kern w:val="2"/>
          <w:sz w:val="21"/>
          <w:szCs w:val="21"/>
          <w:highlight w:val="none"/>
          <w:lang w:val="zh-CN"/>
        </w:rPr>
        <w:t>2</w:t>
      </w:r>
      <w:r>
        <w:rPr>
          <w:rFonts w:hAnsi="宋体"/>
          <w:color w:val="auto"/>
          <w:kern w:val="2"/>
          <w:sz w:val="21"/>
          <w:szCs w:val="21"/>
          <w:highlight w:val="none"/>
          <w:lang w:val="zh-CN"/>
        </w:rPr>
        <w:tab/>
      </w:r>
      <w:r>
        <w:rPr>
          <w:rFonts w:hint="eastAsia" w:hAnsi="宋体"/>
          <w:color w:val="auto"/>
          <w:kern w:val="2"/>
          <w:sz w:val="21"/>
          <w:szCs w:val="21"/>
          <w:highlight w:val="none"/>
          <w:lang w:val="zh-CN"/>
        </w:rPr>
        <w:t>开标由采购人或者采购代理机构主持，邀请供应商参加。磋商小组成员不得参加开标活动。</w:t>
      </w:r>
    </w:p>
    <w:p>
      <w:pPr>
        <w:spacing w:line="360" w:lineRule="auto"/>
        <w:ind w:left="567" w:right="18" w:hanging="567"/>
        <w:jc w:val="both"/>
        <w:rPr>
          <w:rFonts w:hAnsi="宋体"/>
          <w:color w:val="auto"/>
          <w:sz w:val="21"/>
          <w:szCs w:val="21"/>
          <w:highlight w:val="none"/>
          <w:lang w:val="zh-CN"/>
        </w:rPr>
      </w:pPr>
      <w:r>
        <w:rPr>
          <w:rFonts w:hint="eastAsia" w:hAnsi="宋体"/>
          <w:color w:val="auto"/>
          <w:kern w:val="2"/>
          <w:sz w:val="21"/>
          <w:szCs w:val="21"/>
          <w:highlight w:val="none"/>
          <w:lang w:val="zh-CN"/>
        </w:rPr>
        <w:t xml:space="preserve">27.3 </w:t>
      </w:r>
      <w:r>
        <w:rPr>
          <w:rFonts w:hint="eastAsia" w:hAnsi="宋体"/>
          <w:color w:val="auto"/>
          <w:sz w:val="21"/>
          <w:szCs w:val="21"/>
          <w:highlight w:val="none"/>
          <w:lang w:val="zh-CN"/>
        </w:rPr>
        <w:t>开标时，将由供应商或者其推选的代表检查响应文件密封情况；经确认无误后，由采购人或者采购代理机构工作人员当众拆封，宣布供应商名称、投标价格和磋商文件规定的需要宣布的其他内容。供应商不足3家的，不得开标。</w:t>
      </w:r>
    </w:p>
    <w:p>
      <w:pPr>
        <w:spacing w:line="360" w:lineRule="auto"/>
        <w:ind w:left="567" w:right="18" w:hanging="567"/>
        <w:jc w:val="both"/>
        <w:rPr>
          <w:rFonts w:hAnsi="宋体"/>
          <w:color w:val="auto"/>
          <w:kern w:val="2"/>
          <w:sz w:val="21"/>
          <w:szCs w:val="21"/>
          <w:highlight w:val="none"/>
          <w:lang w:val="zh-CN"/>
        </w:rPr>
      </w:pPr>
      <w:r>
        <w:rPr>
          <w:rFonts w:hAnsi="宋体"/>
          <w:color w:val="auto"/>
          <w:kern w:val="2"/>
          <w:sz w:val="21"/>
          <w:szCs w:val="21"/>
          <w:highlight w:val="none"/>
          <w:lang w:val="zh-CN"/>
        </w:rPr>
        <w:t>2</w:t>
      </w:r>
      <w:r>
        <w:rPr>
          <w:rFonts w:hint="eastAsia" w:hAnsi="宋体"/>
          <w:color w:val="auto"/>
          <w:kern w:val="2"/>
          <w:sz w:val="21"/>
          <w:szCs w:val="21"/>
          <w:highlight w:val="none"/>
          <w:lang w:val="zh-CN"/>
        </w:rPr>
        <w:t>7</w:t>
      </w:r>
      <w:r>
        <w:rPr>
          <w:rFonts w:hAnsi="宋体"/>
          <w:color w:val="auto"/>
          <w:kern w:val="2"/>
          <w:sz w:val="21"/>
          <w:szCs w:val="21"/>
          <w:highlight w:val="none"/>
          <w:lang w:val="zh-CN"/>
        </w:rPr>
        <w:t>.</w:t>
      </w:r>
      <w:r>
        <w:rPr>
          <w:rFonts w:hint="eastAsia" w:hAnsi="宋体"/>
          <w:color w:val="auto"/>
          <w:kern w:val="2"/>
          <w:sz w:val="21"/>
          <w:szCs w:val="21"/>
          <w:highlight w:val="none"/>
          <w:lang w:val="zh-CN"/>
        </w:rPr>
        <w:t>4 开标过程将由采购人或者采购代理机构负责记录，由参加开标的各供应商代表和相关工作人员签字确认后随采购文件一并存档。供应商代表对开标过程和开标记录有疑义，以及认为采购人、采购代理机构相关工作人员有需要回避的情形的，应当场提出询问或者回避申请。采购人、采购代理机构对供应商代表提出的询问或者回避申请进行及时处理。供应商未参加开标的，视同认可开标结果。</w:t>
      </w:r>
    </w:p>
    <w:p>
      <w:pPr>
        <w:spacing w:line="360" w:lineRule="auto"/>
        <w:ind w:left="567" w:right="18"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27.5 竞争性磋商数额标准以上的采购项目，投标截止后供应商不足3家或者通过资格审查或符合性审查的供应商不足3家的，除采购任务取消情形外，按照以下方式处理：</w:t>
      </w:r>
    </w:p>
    <w:p>
      <w:pPr>
        <w:spacing w:line="360" w:lineRule="auto"/>
        <w:ind w:left="567" w:right="18"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　　（1）磋商文件存在不合理条款或者招标程序不符合规定的，采购人、采购代理机构改正后依法重新招标；</w:t>
      </w:r>
    </w:p>
    <w:p>
      <w:pPr>
        <w:spacing w:line="360" w:lineRule="auto"/>
        <w:ind w:left="567" w:right="18"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　　（2）磋商文件没有不合理条款、招标程序符合规定，需要采用其他采购方式采购的，采购人将依法报财政部门批准。</w:t>
      </w:r>
    </w:p>
    <w:p>
      <w:pPr>
        <w:tabs>
          <w:tab w:val="left" w:pos="567"/>
        </w:tabs>
        <w:spacing w:line="360" w:lineRule="auto"/>
        <w:ind w:left="567" w:hanging="567"/>
        <w:jc w:val="both"/>
        <w:rPr>
          <w:rFonts w:hAnsi="宋体"/>
          <w:b/>
          <w:color w:val="auto"/>
          <w:sz w:val="21"/>
          <w:szCs w:val="21"/>
          <w:highlight w:val="none"/>
        </w:rPr>
      </w:pPr>
      <w:r>
        <w:rPr>
          <w:rFonts w:hint="eastAsia" w:hAnsi="宋体"/>
          <w:color w:val="auto"/>
          <w:kern w:val="2"/>
          <w:sz w:val="21"/>
          <w:szCs w:val="21"/>
          <w:highlight w:val="none"/>
          <w:lang w:val="zh-CN"/>
        </w:rPr>
        <w:t>27.6 竞争性磋商采购项目开标结束后，采购人或者采购代理机构将依法对供应商的资格进行审查。</w:t>
      </w:r>
    </w:p>
    <w:p>
      <w:pPr>
        <w:tabs>
          <w:tab w:val="left" w:pos="567"/>
        </w:tabs>
        <w:spacing w:line="360" w:lineRule="auto"/>
        <w:ind w:left="567"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27.7 合格供应商不足3家的，不得评标。</w:t>
      </w:r>
    </w:p>
    <w:p>
      <w:pPr>
        <w:tabs>
          <w:tab w:val="left" w:pos="567"/>
        </w:tabs>
        <w:spacing w:line="360" w:lineRule="auto"/>
        <w:ind w:left="567" w:hanging="567"/>
        <w:jc w:val="both"/>
        <w:rPr>
          <w:rFonts w:hAnsi="宋体"/>
          <w:b/>
          <w:color w:val="auto"/>
          <w:kern w:val="2"/>
          <w:sz w:val="21"/>
          <w:szCs w:val="21"/>
          <w:highlight w:val="none"/>
          <w:lang w:val="zh-CN"/>
        </w:rPr>
      </w:pPr>
      <w:r>
        <w:rPr>
          <w:rFonts w:hAnsi="宋体"/>
          <w:b/>
          <w:color w:val="auto"/>
          <w:kern w:val="2"/>
          <w:sz w:val="21"/>
          <w:szCs w:val="21"/>
          <w:highlight w:val="none"/>
          <w:lang w:val="zh-CN"/>
        </w:rPr>
        <w:t>2</w:t>
      </w:r>
      <w:r>
        <w:rPr>
          <w:rFonts w:hint="eastAsia" w:hAnsi="宋体"/>
          <w:b/>
          <w:color w:val="auto"/>
          <w:kern w:val="2"/>
          <w:sz w:val="21"/>
          <w:szCs w:val="21"/>
          <w:highlight w:val="none"/>
          <w:lang w:val="zh-CN"/>
        </w:rPr>
        <w:t>8</w:t>
      </w:r>
      <w:r>
        <w:rPr>
          <w:rFonts w:hAnsi="宋体"/>
          <w:b/>
          <w:color w:val="auto"/>
          <w:kern w:val="2"/>
          <w:sz w:val="21"/>
          <w:szCs w:val="21"/>
          <w:highlight w:val="none"/>
          <w:lang w:val="zh-CN"/>
        </w:rPr>
        <w:tab/>
      </w:r>
      <w:r>
        <w:rPr>
          <w:rFonts w:hint="eastAsia" w:hAnsi="宋体"/>
          <w:b/>
          <w:color w:val="auto"/>
          <w:kern w:val="2"/>
          <w:sz w:val="21"/>
          <w:szCs w:val="21"/>
          <w:highlight w:val="none"/>
          <w:lang w:val="zh-CN"/>
        </w:rPr>
        <w:t>开标异议</w:t>
      </w:r>
    </w:p>
    <w:p>
      <w:pPr>
        <w:tabs>
          <w:tab w:val="left" w:pos="567"/>
        </w:tabs>
        <w:spacing w:line="360" w:lineRule="auto"/>
        <w:ind w:left="567" w:hanging="567"/>
        <w:jc w:val="both"/>
        <w:rPr>
          <w:rFonts w:hAnsi="宋体"/>
          <w:color w:val="auto"/>
          <w:kern w:val="2"/>
          <w:sz w:val="21"/>
          <w:szCs w:val="21"/>
          <w:highlight w:val="none"/>
          <w:lang w:val="zh-CN"/>
        </w:rPr>
      </w:pPr>
      <w:r>
        <w:rPr>
          <w:rFonts w:hAnsi="宋体"/>
          <w:color w:val="auto"/>
          <w:kern w:val="2"/>
          <w:sz w:val="21"/>
          <w:szCs w:val="21"/>
          <w:highlight w:val="none"/>
          <w:lang w:val="zh-CN"/>
        </w:rPr>
        <w:t>2</w:t>
      </w:r>
      <w:r>
        <w:rPr>
          <w:rFonts w:hint="eastAsia" w:hAnsi="宋体"/>
          <w:color w:val="auto"/>
          <w:kern w:val="2"/>
          <w:sz w:val="21"/>
          <w:szCs w:val="21"/>
          <w:highlight w:val="none"/>
          <w:lang w:val="zh-CN"/>
        </w:rPr>
        <w:t>8</w:t>
      </w:r>
      <w:r>
        <w:rPr>
          <w:rFonts w:hAnsi="宋体"/>
          <w:color w:val="auto"/>
          <w:kern w:val="2"/>
          <w:sz w:val="21"/>
          <w:szCs w:val="21"/>
          <w:highlight w:val="none"/>
          <w:lang w:val="zh-CN"/>
        </w:rPr>
        <w:t>.1</w:t>
      </w:r>
      <w:r>
        <w:rPr>
          <w:rFonts w:hAnsi="宋体"/>
          <w:color w:val="auto"/>
          <w:kern w:val="2"/>
          <w:sz w:val="21"/>
          <w:szCs w:val="21"/>
          <w:highlight w:val="none"/>
          <w:lang w:val="zh-CN"/>
        </w:rPr>
        <w:tab/>
      </w:r>
      <w:r>
        <w:rPr>
          <w:rFonts w:hint="eastAsia" w:hAnsi="宋体"/>
          <w:color w:val="auto"/>
          <w:kern w:val="2"/>
          <w:sz w:val="21"/>
          <w:szCs w:val="21"/>
          <w:highlight w:val="none"/>
          <w:lang w:val="zh-CN"/>
        </w:rPr>
        <w:t>投标供应商代表对开标过程和开标记录有疑义，以及认为采购人、采购代理机构相关工作人员有需要回避的情形的，应当场提出询问或者回避申请。投标供应商未参加开标的，视同认可开标结果。</w:t>
      </w:r>
    </w:p>
    <w:p>
      <w:pPr>
        <w:tabs>
          <w:tab w:val="left" w:pos="567"/>
        </w:tabs>
        <w:spacing w:line="360" w:lineRule="auto"/>
        <w:ind w:left="567"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28.2 投标截止时间后，投标供应商不足须知前附表中约定的有效供应商家数的，不得开标。同时，本次采购活动结束。</w:t>
      </w:r>
    </w:p>
    <w:p>
      <w:pPr>
        <w:tabs>
          <w:tab w:val="left" w:pos="567"/>
        </w:tabs>
        <w:spacing w:line="360" w:lineRule="auto"/>
        <w:ind w:left="567" w:hanging="567"/>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29</w:t>
      </w:r>
      <w:r>
        <w:rPr>
          <w:rFonts w:hAnsi="宋体"/>
          <w:b/>
          <w:color w:val="auto"/>
          <w:kern w:val="2"/>
          <w:sz w:val="21"/>
          <w:szCs w:val="21"/>
          <w:highlight w:val="none"/>
          <w:lang w:val="zh-CN"/>
        </w:rPr>
        <w:tab/>
      </w:r>
      <w:r>
        <w:rPr>
          <w:rFonts w:hint="eastAsia" w:hAnsi="宋体"/>
          <w:b/>
          <w:color w:val="auto"/>
          <w:kern w:val="2"/>
          <w:sz w:val="21"/>
          <w:szCs w:val="21"/>
          <w:highlight w:val="none"/>
          <w:lang w:val="zh-CN"/>
        </w:rPr>
        <w:t>磋商小组</w:t>
      </w:r>
    </w:p>
    <w:p>
      <w:pPr>
        <w:tabs>
          <w:tab w:val="left" w:pos="567"/>
        </w:tabs>
        <w:spacing w:line="360" w:lineRule="auto"/>
        <w:ind w:left="567"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29</w:t>
      </w:r>
      <w:r>
        <w:rPr>
          <w:rFonts w:hAnsi="宋体"/>
          <w:color w:val="auto"/>
          <w:kern w:val="2"/>
          <w:sz w:val="21"/>
          <w:szCs w:val="21"/>
          <w:highlight w:val="none"/>
          <w:lang w:val="zh-CN"/>
        </w:rPr>
        <w:t>.1</w:t>
      </w:r>
      <w:r>
        <w:rPr>
          <w:rFonts w:hAnsi="宋体"/>
          <w:color w:val="auto"/>
          <w:kern w:val="2"/>
          <w:sz w:val="21"/>
          <w:szCs w:val="21"/>
          <w:highlight w:val="none"/>
          <w:lang w:val="zh-CN"/>
        </w:rPr>
        <w:tab/>
      </w:r>
      <w:r>
        <w:rPr>
          <w:rFonts w:hint="eastAsia" w:hAnsi="宋体"/>
          <w:color w:val="auto"/>
          <w:kern w:val="2"/>
          <w:sz w:val="21"/>
          <w:szCs w:val="21"/>
          <w:highlight w:val="none"/>
          <w:lang w:val="zh-CN"/>
        </w:rPr>
        <w:t>采购代理机构依法组建磋商小组。</w:t>
      </w:r>
    </w:p>
    <w:p>
      <w:pPr>
        <w:tabs>
          <w:tab w:val="left" w:pos="567"/>
        </w:tabs>
        <w:spacing w:line="360" w:lineRule="auto"/>
        <w:ind w:left="567"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29</w:t>
      </w:r>
      <w:r>
        <w:rPr>
          <w:rFonts w:hAnsi="宋体"/>
          <w:color w:val="auto"/>
          <w:kern w:val="2"/>
          <w:sz w:val="21"/>
          <w:szCs w:val="21"/>
          <w:highlight w:val="none"/>
          <w:lang w:val="zh-CN"/>
        </w:rPr>
        <w:t>.</w:t>
      </w:r>
      <w:r>
        <w:rPr>
          <w:rFonts w:hint="eastAsia" w:hAnsi="宋体"/>
          <w:color w:val="auto"/>
          <w:kern w:val="2"/>
          <w:sz w:val="21"/>
          <w:szCs w:val="21"/>
          <w:highlight w:val="none"/>
          <w:lang w:val="zh-CN"/>
        </w:rPr>
        <w:t>2</w:t>
      </w:r>
      <w:r>
        <w:rPr>
          <w:rFonts w:hAnsi="宋体"/>
          <w:color w:val="auto"/>
          <w:kern w:val="2"/>
          <w:sz w:val="21"/>
          <w:szCs w:val="21"/>
          <w:highlight w:val="none"/>
          <w:lang w:val="zh-CN"/>
        </w:rPr>
        <w:tab/>
      </w:r>
      <w:r>
        <w:rPr>
          <w:rFonts w:hint="eastAsia" w:hAnsi="宋体"/>
          <w:color w:val="auto"/>
          <w:kern w:val="2"/>
          <w:sz w:val="21"/>
          <w:szCs w:val="21"/>
          <w:highlight w:val="none"/>
          <w:lang w:val="zh-CN"/>
        </w:rPr>
        <w:t>磋商小组负责具体评标事务，并独立履行下列职责：</w:t>
      </w:r>
    </w:p>
    <w:p>
      <w:pPr>
        <w:tabs>
          <w:tab w:val="left" w:pos="567"/>
        </w:tabs>
        <w:spacing w:line="360" w:lineRule="auto"/>
        <w:ind w:left="567"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　　（1）审查、评价响应文件是否符合磋商文件的商务、技术等实质性要求；</w:t>
      </w:r>
    </w:p>
    <w:p>
      <w:pPr>
        <w:tabs>
          <w:tab w:val="left" w:pos="567"/>
        </w:tabs>
        <w:spacing w:line="360" w:lineRule="auto"/>
        <w:ind w:left="567"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　　（2）要求供应商对响应文件有关事项作出澄清或者说明；</w:t>
      </w:r>
    </w:p>
    <w:p>
      <w:pPr>
        <w:tabs>
          <w:tab w:val="left" w:pos="567"/>
        </w:tabs>
        <w:spacing w:line="360" w:lineRule="auto"/>
        <w:ind w:left="567"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　　（3）对响应文件进行比较和评价；</w:t>
      </w:r>
    </w:p>
    <w:p>
      <w:pPr>
        <w:tabs>
          <w:tab w:val="left" w:pos="567"/>
        </w:tabs>
        <w:spacing w:line="360" w:lineRule="auto"/>
        <w:ind w:left="567"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　　（4）确定成交候选人名单，以及根据采购人委托直接确定成交供应商；</w:t>
      </w:r>
    </w:p>
    <w:p>
      <w:pPr>
        <w:tabs>
          <w:tab w:val="left" w:pos="567"/>
        </w:tabs>
        <w:spacing w:line="360" w:lineRule="auto"/>
        <w:ind w:left="567" w:hanging="567"/>
        <w:jc w:val="both"/>
        <w:rPr>
          <w:rFonts w:hAnsi="宋体"/>
          <w:color w:val="auto"/>
          <w:kern w:val="2"/>
          <w:sz w:val="21"/>
          <w:szCs w:val="21"/>
          <w:highlight w:val="none"/>
          <w:lang w:val="zh-CN"/>
        </w:rPr>
      </w:pPr>
      <w:r>
        <w:rPr>
          <w:rFonts w:hint="eastAsia" w:hAnsi="宋体"/>
          <w:color w:val="auto"/>
          <w:kern w:val="2"/>
          <w:sz w:val="21"/>
          <w:szCs w:val="21"/>
          <w:highlight w:val="none"/>
          <w:lang w:val="zh-CN"/>
        </w:rPr>
        <w:t>　　（5）向采购人、采购代理机构或者有关部门报告评标中发现的违法行为。</w:t>
      </w:r>
    </w:p>
    <w:p>
      <w:pPr>
        <w:tabs>
          <w:tab w:val="left" w:pos="567"/>
        </w:tabs>
        <w:spacing w:line="360" w:lineRule="auto"/>
        <w:ind w:left="567" w:hanging="567"/>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30</w:t>
      </w:r>
      <w:r>
        <w:rPr>
          <w:rFonts w:hAnsi="宋体"/>
          <w:b/>
          <w:color w:val="auto"/>
          <w:kern w:val="2"/>
          <w:sz w:val="21"/>
          <w:szCs w:val="21"/>
          <w:highlight w:val="none"/>
          <w:lang w:val="zh-CN"/>
        </w:rPr>
        <w:tab/>
      </w:r>
      <w:r>
        <w:rPr>
          <w:rFonts w:hint="eastAsia" w:hAnsi="宋体"/>
          <w:b/>
          <w:color w:val="auto"/>
          <w:kern w:val="2"/>
          <w:sz w:val="21"/>
          <w:szCs w:val="21"/>
          <w:highlight w:val="none"/>
          <w:lang w:val="zh-CN"/>
        </w:rPr>
        <w:t>评标</w:t>
      </w:r>
    </w:p>
    <w:p>
      <w:pPr>
        <w:spacing w:line="360" w:lineRule="auto"/>
        <w:ind w:left="540" w:hanging="540"/>
        <w:jc w:val="both"/>
        <w:rPr>
          <w:rFonts w:hAnsi="宋体"/>
          <w:color w:val="auto"/>
          <w:kern w:val="2"/>
          <w:sz w:val="21"/>
          <w:szCs w:val="21"/>
          <w:highlight w:val="none"/>
        </w:rPr>
      </w:pPr>
      <w:r>
        <w:rPr>
          <w:rFonts w:hint="eastAsia" w:hAnsi="宋体"/>
          <w:color w:val="auto"/>
          <w:kern w:val="2"/>
          <w:sz w:val="21"/>
          <w:szCs w:val="21"/>
          <w:highlight w:val="none"/>
          <w:lang w:val="zh-CN"/>
        </w:rPr>
        <w:t>30</w:t>
      </w:r>
      <w:r>
        <w:rPr>
          <w:rFonts w:hAnsi="宋体"/>
          <w:color w:val="auto"/>
          <w:kern w:val="2"/>
          <w:sz w:val="21"/>
          <w:szCs w:val="21"/>
          <w:highlight w:val="none"/>
          <w:lang w:val="zh-CN"/>
        </w:rPr>
        <w:t>.1</w:t>
      </w:r>
      <w:r>
        <w:rPr>
          <w:rFonts w:hint="eastAsia" w:hAnsi="宋体"/>
          <w:color w:val="auto"/>
          <w:kern w:val="2"/>
          <w:sz w:val="21"/>
          <w:szCs w:val="21"/>
          <w:highlight w:val="none"/>
          <w:lang w:val="zh-CN"/>
        </w:rPr>
        <w:t xml:space="preserve"> </w:t>
      </w:r>
      <w:r>
        <w:rPr>
          <w:rFonts w:hint="eastAsia" w:hAnsi="宋体"/>
          <w:color w:val="auto"/>
          <w:sz w:val="21"/>
          <w:szCs w:val="21"/>
          <w:highlight w:val="none"/>
        </w:rPr>
        <w:t>详见第四篇评标工作大纲。</w:t>
      </w:r>
    </w:p>
    <w:p>
      <w:pPr>
        <w:pStyle w:val="4"/>
        <w:spacing w:line="360" w:lineRule="auto"/>
        <w:rPr>
          <w:rFonts w:hAnsi="宋体"/>
          <w:b/>
          <w:bCs/>
          <w:color w:val="auto"/>
          <w:kern w:val="44"/>
          <w:sz w:val="21"/>
          <w:szCs w:val="21"/>
          <w:highlight w:val="none"/>
          <w:lang w:val="zh-CN"/>
        </w:rPr>
      </w:pPr>
      <w:bookmarkStart w:id="74" w:name="_Toc396137238"/>
      <w:bookmarkStart w:id="75" w:name="_Toc30390"/>
      <w:r>
        <w:rPr>
          <w:rFonts w:hint="eastAsia" w:hAnsi="宋体"/>
          <w:b/>
          <w:bCs/>
          <w:color w:val="auto"/>
          <w:kern w:val="44"/>
          <w:sz w:val="21"/>
          <w:szCs w:val="21"/>
          <w:highlight w:val="none"/>
          <w:lang w:val="zh-CN"/>
        </w:rPr>
        <w:t>（六）成交和合同</w:t>
      </w:r>
      <w:bookmarkEnd w:id="74"/>
      <w:bookmarkEnd w:id="75"/>
    </w:p>
    <w:p>
      <w:pPr>
        <w:tabs>
          <w:tab w:val="left" w:pos="567"/>
        </w:tabs>
        <w:spacing w:line="360" w:lineRule="auto"/>
        <w:ind w:left="567" w:hanging="567"/>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31</w:t>
      </w:r>
      <w:r>
        <w:rPr>
          <w:rFonts w:hAnsi="宋体"/>
          <w:b/>
          <w:color w:val="auto"/>
          <w:kern w:val="2"/>
          <w:sz w:val="21"/>
          <w:szCs w:val="21"/>
          <w:highlight w:val="none"/>
          <w:lang w:val="zh-CN"/>
        </w:rPr>
        <w:tab/>
      </w:r>
      <w:r>
        <w:rPr>
          <w:rFonts w:hint="eastAsia" w:hAnsi="宋体"/>
          <w:b/>
          <w:color w:val="auto"/>
          <w:kern w:val="2"/>
          <w:sz w:val="21"/>
          <w:szCs w:val="21"/>
          <w:highlight w:val="none"/>
          <w:lang w:val="zh-CN"/>
        </w:rPr>
        <w:t>成交</w:t>
      </w:r>
    </w:p>
    <w:p>
      <w:pPr>
        <w:tabs>
          <w:tab w:val="left" w:pos="540"/>
          <w:tab w:val="left" w:pos="720"/>
          <w:tab w:val="left" w:pos="3460"/>
        </w:tabs>
        <w:spacing w:line="360" w:lineRule="auto"/>
        <w:ind w:left="540" w:right="18" w:hanging="540"/>
        <w:jc w:val="both"/>
        <w:rPr>
          <w:rFonts w:hAnsi="宋体"/>
          <w:color w:val="auto"/>
          <w:kern w:val="2"/>
          <w:sz w:val="21"/>
          <w:szCs w:val="21"/>
          <w:highlight w:val="none"/>
          <w:lang w:val="zh-CN"/>
        </w:rPr>
      </w:pPr>
      <w:r>
        <w:rPr>
          <w:rFonts w:hint="eastAsia" w:hAnsi="宋体"/>
          <w:color w:val="auto"/>
          <w:kern w:val="2"/>
          <w:sz w:val="21"/>
          <w:szCs w:val="21"/>
          <w:highlight w:val="none"/>
          <w:lang w:val="zh-CN"/>
        </w:rPr>
        <w:t>31</w:t>
      </w:r>
      <w:r>
        <w:rPr>
          <w:rFonts w:hAnsi="宋体"/>
          <w:color w:val="auto"/>
          <w:kern w:val="2"/>
          <w:sz w:val="21"/>
          <w:szCs w:val="21"/>
          <w:highlight w:val="none"/>
          <w:lang w:val="zh-CN"/>
        </w:rPr>
        <w:t>.1</w:t>
      </w:r>
      <w:r>
        <w:rPr>
          <w:rFonts w:hint="eastAsia" w:hAnsi="宋体"/>
          <w:color w:val="auto"/>
          <w:kern w:val="2"/>
          <w:sz w:val="21"/>
          <w:szCs w:val="21"/>
          <w:highlight w:val="none"/>
          <w:lang w:val="zh-CN"/>
        </w:rPr>
        <w:t xml:space="preserve"> 采购代理机构在评标结束后2个工作日内将评标报告送采购人。</w:t>
      </w:r>
    </w:p>
    <w:p>
      <w:pPr>
        <w:tabs>
          <w:tab w:val="left" w:pos="540"/>
          <w:tab w:val="left" w:pos="720"/>
          <w:tab w:val="left" w:pos="3460"/>
        </w:tabs>
        <w:spacing w:line="360" w:lineRule="auto"/>
        <w:ind w:left="540" w:right="18" w:hanging="540"/>
        <w:jc w:val="both"/>
        <w:rPr>
          <w:rFonts w:hAnsi="宋体"/>
          <w:color w:val="auto"/>
          <w:kern w:val="2"/>
          <w:sz w:val="21"/>
          <w:szCs w:val="21"/>
          <w:highlight w:val="none"/>
          <w:lang w:val="zh-CN"/>
        </w:rPr>
      </w:pPr>
      <w:r>
        <w:rPr>
          <w:rFonts w:hint="eastAsia" w:hAnsi="宋体"/>
          <w:color w:val="auto"/>
          <w:kern w:val="2"/>
          <w:sz w:val="21"/>
          <w:szCs w:val="21"/>
          <w:highlight w:val="none"/>
          <w:lang w:val="zh-CN"/>
        </w:rPr>
        <w:t>31</w:t>
      </w:r>
      <w:r>
        <w:rPr>
          <w:rFonts w:hAnsi="宋体"/>
          <w:color w:val="auto"/>
          <w:kern w:val="2"/>
          <w:sz w:val="21"/>
          <w:szCs w:val="21"/>
          <w:highlight w:val="none"/>
          <w:lang w:val="zh-CN"/>
        </w:rPr>
        <w:t>.</w:t>
      </w:r>
      <w:r>
        <w:rPr>
          <w:rFonts w:hint="eastAsia" w:hAnsi="宋体"/>
          <w:color w:val="auto"/>
          <w:kern w:val="2"/>
          <w:sz w:val="21"/>
          <w:szCs w:val="21"/>
          <w:highlight w:val="none"/>
          <w:lang w:val="zh-CN"/>
        </w:rPr>
        <w:t>2 采购人应当自收到评标报告之日起5个工作日内，在评标报告确定的成交候选人名单中按顺序确定成交供应商。成交候选人并列的，由采购人或者采购人委托磋商小组按照磋商文件规定的方式确定成交供应商；磋商文件未规定的，采取随机抽取的方式确定。</w:t>
      </w:r>
    </w:p>
    <w:p>
      <w:pPr>
        <w:tabs>
          <w:tab w:val="left" w:pos="540"/>
          <w:tab w:val="left" w:pos="720"/>
          <w:tab w:val="left" w:pos="3460"/>
        </w:tabs>
        <w:spacing w:line="360" w:lineRule="auto"/>
        <w:ind w:left="540" w:right="18" w:hanging="540"/>
        <w:jc w:val="both"/>
        <w:rPr>
          <w:rFonts w:hAnsi="宋体"/>
          <w:color w:val="auto"/>
          <w:kern w:val="2"/>
          <w:sz w:val="21"/>
          <w:szCs w:val="21"/>
          <w:highlight w:val="none"/>
          <w:lang w:val="zh-CN"/>
        </w:rPr>
      </w:pPr>
      <w:r>
        <w:rPr>
          <w:rFonts w:hint="eastAsia" w:hAnsi="宋体"/>
          <w:color w:val="auto"/>
          <w:kern w:val="2"/>
          <w:sz w:val="21"/>
          <w:szCs w:val="21"/>
          <w:highlight w:val="none"/>
          <w:lang w:val="zh-CN"/>
        </w:rPr>
        <w:t>31</w:t>
      </w:r>
      <w:r>
        <w:rPr>
          <w:rFonts w:hAnsi="宋体"/>
          <w:color w:val="auto"/>
          <w:kern w:val="2"/>
          <w:sz w:val="21"/>
          <w:szCs w:val="21"/>
          <w:highlight w:val="none"/>
          <w:lang w:val="zh-CN"/>
        </w:rPr>
        <w:t>.</w:t>
      </w:r>
      <w:r>
        <w:rPr>
          <w:rFonts w:hint="eastAsia" w:hAnsi="宋体"/>
          <w:color w:val="auto"/>
          <w:kern w:val="2"/>
          <w:sz w:val="21"/>
          <w:szCs w:val="21"/>
          <w:highlight w:val="none"/>
          <w:lang w:val="zh-CN"/>
        </w:rPr>
        <w:t>3 采购人在收到评标报告5个工作日内未按评标报告推荐的成交候选人顺序确定成交供应商，又不能说明合法理由的，视同按评标报告推荐的顺序确定排名第一的成交候选人为成交供应商。</w:t>
      </w:r>
    </w:p>
    <w:p>
      <w:pPr>
        <w:tabs>
          <w:tab w:val="left" w:pos="540"/>
          <w:tab w:val="left" w:pos="720"/>
          <w:tab w:val="left" w:pos="3460"/>
        </w:tabs>
        <w:spacing w:line="360" w:lineRule="auto"/>
        <w:ind w:left="540" w:right="18" w:hanging="540"/>
        <w:jc w:val="both"/>
        <w:rPr>
          <w:rFonts w:hAnsi="宋体"/>
          <w:color w:val="auto"/>
          <w:kern w:val="2"/>
          <w:sz w:val="21"/>
          <w:szCs w:val="21"/>
          <w:highlight w:val="none"/>
          <w:lang w:val="zh-CN"/>
        </w:rPr>
      </w:pPr>
      <w:r>
        <w:rPr>
          <w:rFonts w:hint="eastAsia" w:hAnsi="宋体"/>
          <w:color w:val="auto"/>
          <w:kern w:val="2"/>
          <w:sz w:val="21"/>
          <w:szCs w:val="21"/>
          <w:highlight w:val="none"/>
          <w:lang w:val="zh-CN"/>
        </w:rPr>
        <w:t>31</w:t>
      </w:r>
      <w:r>
        <w:rPr>
          <w:rFonts w:hAnsi="宋体"/>
          <w:color w:val="auto"/>
          <w:kern w:val="2"/>
          <w:sz w:val="21"/>
          <w:szCs w:val="21"/>
          <w:highlight w:val="none"/>
          <w:lang w:val="zh-CN"/>
        </w:rPr>
        <w:t>.</w:t>
      </w:r>
      <w:r>
        <w:rPr>
          <w:rFonts w:hint="eastAsia" w:hAnsi="宋体"/>
          <w:color w:val="auto"/>
          <w:kern w:val="2"/>
          <w:sz w:val="21"/>
          <w:szCs w:val="21"/>
          <w:highlight w:val="none"/>
          <w:lang w:val="zh-CN"/>
        </w:rPr>
        <w:t>4 采购代理机构自成交供应商确定之日起2个工作日内，在《供应商须知前附表》规定的媒体上公告成交结果，磋商文件随成交结果同时公告。</w:t>
      </w:r>
    </w:p>
    <w:p>
      <w:pPr>
        <w:tabs>
          <w:tab w:val="left" w:pos="540"/>
          <w:tab w:val="left" w:pos="720"/>
          <w:tab w:val="left" w:pos="3460"/>
        </w:tabs>
        <w:spacing w:line="360" w:lineRule="auto"/>
        <w:ind w:left="540" w:right="18" w:hanging="540"/>
        <w:jc w:val="both"/>
        <w:rPr>
          <w:rFonts w:hAnsi="宋体"/>
          <w:color w:val="auto"/>
          <w:kern w:val="2"/>
          <w:sz w:val="21"/>
          <w:szCs w:val="21"/>
          <w:highlight w:val="none"/>
          <w:lang w:val="zh-CN"/>
        </w:rPr>
      </w:pPr>
      <w:r>
        <w:rPr>
          <w:rFonts w:hint="eastAsia" w:hAnsi="宋体"/>
          <w:color w:val="auto"/>
          <w:kern w:val="2"/>
          <w:sz w:val="21"/>
          <w:szCs w:val="21"/>
          <w:highlight w:val="none"/>
          <w:lang w:val="zh-CN"/>
        </w:rPr>
        <w:t>31</w:t>
      </w:r>
      <w:r>
        <w:rPr>
          <w:rFonts w:hAnsi="宋体"/>
          <w:color w:val="auto"/>
          <w:kern w:val="2"/>
          <w:sz w:val="21"/>
          <w:szCs w:val="21"/>
          <w:highlight w:val="none"/>
          <w:lang w:val="zh-CN"/>
        </w:rPr>
        <w:t>.</w:t>
      </w:r>
      <w:r>
        <w:rPr>
          <w:rFonts w:hint="eastAsia" w:hAnsi="宋体"/>
          <w:color w:val="auto"/>
          <w:kern w:val="2"/>
          <w:sz w:val="21"/>
          <w:szCs w:val="21"/>
          <w:highlight w:val="none"/>
          <w:lang w:val="zh-CN"/>
        </w:rPr>
        <w:t>5 成交公告期限为1个工作日。</w:t>
      </w:r>
    </w:p>
    <w:p>
      <w:pPr>
        <w:tabs>
          <w:tab w:val="left" w:pos="567"/>
        </w:tabs>
        <w:spacing w:line="360" w:lineRule="auto"/>
        <w:ind w:left="567" w:hanging="567"/>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32</w:t>
      </w:r>
      <w:r>
        <w:rPr>
          <w:rFonts w:hAnsi="宋体"/>
          <w:b/>
          <w:color w:val="auto"/>
          <w:kern w:val="2"/>
          <w:sz w:val="21"/>
          <w:szCs w:val="21"/>
          <w:highlight w:val="none"/>
          <w:lang w:val="zh-CN"/>
        </w:rPr>
        <w:tab/>
      </w:r>
      <w:r>
        <w:rPr>
          <w:rFonts w:hint="eastAsia" w:hAnsi="宋体"/>
          <w:b/>
          <w:color w:val="auto"/>
          <w:kern w:val="2"/>
          <w:sz w:val="21"/>
          <w:szCs w:val="21"/>
          <w:highlight w:val="none"/>
          <w:lang w:val="zh-CN"/>
        </w:rPr>
        <w:t>成交通知书</w:t>
      </w:r>
    </w:p>
    <w:p>
      <w:pPr>
        <w:spacing w:line="360" w:lineRule="auto"/>
        <w:ind w:left="540" w:right="18" w:hanging="540"/>
        <w:jc w:val="both"/>
        <w:rPr>
          <w:rFonts w:hAnsi="宋体"/>
          <w:color w:val="auto"/>
          <w:kern w:val="2"/>
          <w:sz w:val="21"/>
          <w:szCs w:val="21"/>
          <w:highlight w:val="none"/>
          <w:lang w:val="zh-CN"/>
        </w:rPr>
      </w:pPr>
      <w:r>
        <w:rPr>
          <w:rFonts w:hint="eastAsia" w:hAnsi="宋体"/>
          <w:color w:val="auto"/>
          <w:kern w:val="2"/>
          <w:sz w:val="21"/>
          <w:szCs w:val="21"/>
          <w:highlight w:val="none"/>
          <w:lang w:val="zh-CN"/>
        </w:rPr>
        <w:t>32</w:t>
      </w:r>
      <w:r>
        <w:rPr>
          <w:rFonts w:hAnsi="宋体"/>
          <w:color w:val="auto"/>
          <w:kern w:val="2"/>
          <w:sz w:val="21"/>
          <w:szCs w:val="21"/>
          <w:highlight w:val="none"/>
          <w:lang w:val="zh-CN"/>
        </w:rPr>
        <w:t>.1</w:t>
      </w:r>
      <w:r>
        <w:rPr>
          <w:rFonts w:hAnsi="宋体"/>
          <w:color w:val="auto"/>
          <w:kern w:val="2"/>
          <w:sz w:val="21"/>
          <w:szCs w:val="21"/>
          <w:highlight w:val="none"/>
          <w:lang w:val="zh-CN"/>
        </w:rPr>
        <w:tab/>
      </w:r>
      <w:r>
        <w:rPr>
          <w:rFonts w:hint="eastAsia" w:hAnsi="宋体"/>
          <w:color w:val="auto"/>
          <w:kern w:val="2"/>
          <w:sz w:val="21"/>
          <w:szCs w:val="21"/>
          <w:highlight w:val="none"/>
          <w:lang w:val="zh-CN"/>
        </w:rPr>
        <w:t>成交通知书在发布成交公告时，同步发送至成交供应商。《成交通知书》将作为授予合同资格的唯一合法依据。成交通知书发出后，采购人不得违法改变成交结果，成交供应商不得放弃成交。成交供应商放弃成交的，应当依法承担相应的法律责任。</w:t>
      </w:r>
    </w:p>
    <w:p>
      <w:pPr>
        <w:tabs>
          <w:tab w:val="left" w:pos="567"/>
        </w:tabs>
        <w:spacing w:line="360" w:lineRule="auto"/>
        <w:ind w:left="567" w:hanging="567"/>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33</w:t>
      </w:r>
      <w:r>
        <w:rPr>
          <w:rFonts w:hAnsi="宋体"/>
          <w:b/>
          <w:color w:val="auto"/>
          <w:kern w:val="2"/>
          <w:sz w:val="21"/>
          <w:szCs w:val="21"/>
          <w:highlight w:val="none"/>
          <w:lang w:val="zh-CN"/>
        </w:rPr>
        <w:tab/>
      </w:r>
      <w:r>
        <w:rPr>
          <w:rFonts w:hint="eastAsia" w:hAnsi="宋体"/>
          <w:b/>
          <w:color w:val="auto"/>
          <w:kern w:val="2"/>
          <w:sz w:val="21"/>
          <w:szCs w:val="21"/>
          <w:highlight w:val="none"/>
          <w:lang w:val="zh-CN"/>
        </w:rPr>
        <w:t>废标</w:t>
      </w:r>
    </w:p>
    <w:p>
      <w:pPr>
        <w:spacing w:line="360" w:lineRule="auto"/>
        <w:ind w:left="540" w:right="18" w:hanging="540"/>
        <w:jc w:val="both"/>
        <w:rPr>
          <w:rFonts w:hAnsi="宋体"/>
          <w:color w:val="auto"/>
          <w:kern w:val="2"/>
          <w:sz w:val="21"/>
          <w:szCs w:val="21"/>
          <w:highlight w:val="none"/>
          <w:lang w:val="zh-CN"/>
        </w:rPr>
      </w:pPr>
      <w:r>
        <w:rPr>
          <w:rFonts w:hint="eastAsia" w:hAnsi="宋体"/>
          <w:color w:val="auto"/>
          <w:kern w:val="2"/>
          <w:sz w:val="21"/>
          <w:szCs w:val="21"/>
          <w:highlight w:val="none"/>
          <w:lang w:val="zh-CN"/>
        </w:rPr>
        <w:t>33</w:t>
      </w:r>
      <w:r>
        <w:rPr>
          <w:rFonts w:hAnsi="宋体"/>
          <w:color w:val="auto"/>
          <w:kern w:val="2"/>
          <w:sz w:val="21"/>
          <w:szCs w:val="21"/>
          <w:highlight w:val="none"/>
          <w:lang w:val="zh-CN"/>
        </w:rPr>
        <w:t>.1</w:t>
      </w:r>
      <w:r>
        <w:rPr>
          <w:rFonts w:hint="eastAsia" w:hAnsi="宋体"/>
          <w:color w:val="auto"/>
          <w:kern w:val="2"/>
          <w:sz w:val="21"/>
          <w:szCs w:val="21"/>
          <w:highlight w:val="none"/>
          <w:lang w:val="zh-CN"/>
        </w:rPr>
        <w:t xml:space="preserve"> </w:t>
      </w:r>
      <w:r>
        <w:rPr>
          <w:rFonts w:hAnsi="宋体"/>
          <w:color w:val="auto"/>
          <w:kern w:val="2"/>
          <w:sz w:val="21"/>
          <w:szCs w:val="21"/>
          <w:highlight w:val="none"/>
          <w:lang w:val="zh-CN"/>
        </w:rPr>
        <w:t>在招标采购中，出现下列情形之一的，应予废标：</w:t>
      </w:r>
    </w:p>
    <w:p>
      <w:pPr>
        <w:tabs>
          <w:tab w:val="left" w:pos="567"/>
        </w:tabs>
        <w:spacing w:line="360" w:lineRule="auto"/>
        <w:ind w:left="567" w:right="18"/>
        <w:jc w:val="both"/>
        <w:rPr>
          <w:rFonts w:hAnsi="宋体"/>
          <w:color w:val="auto"/>
          <w:kern w:val="2"/>
          <w:sz w:val="21"/>
          <w:szCs w:val="21"/>
          <w:highlight w:val="none"/>
          <w:lang w:val="zh-CN"/>
        </w:rPr>
      </w:pPr>
      <w:r>
        <w:rPr>
          <w:rFonts w:hint="eastAsia" w:hAnsi="宋体"/>
          <w:color w:val="auto"/>
          <w:kern w:val="2"/>
          <w:sz w:val="21"/>
          <w:szCs w:val="21"/>
          <w:highlight w:val="none"/>
          <w:lang w:val="zh-CN"/>
        </w:rPr>
        <w:t>（1）符合专业条件的供应商或者对磋商文件作实质响应的供应商不足三家的；</w:t>
      </w:r>
    </w:p>
    <w:p>
      <w:pPr>
        <w:tabs>
          <w:tab w:val="left" w:pos="567"/>
        </w:tabs>
        <w:spacing w:line="360" w:lineRule="auto"/>
        <w:ind w:left="567" w:right="18"/>
        <w:jc w:val="both"/>
        <w:rPr>
          <w:rFonts w:hAnsi="宋体"/>
          <w:color w:val="auto"/>
          <w:kern w:val="2"/>
          <w:sz w:val="21"/>
          <w:szCs w:val="21"/>
          <w:highlight w:val="none"/>
          <w:lang w:val="zh-CN"/>
        </w:rPr>
      </w:pPr>
      <w:r>
        <w:rPr>
          <w:rFonts w:hint="eastAsia" w:hAnsi="宋体"/>
          <w:color w:val="auto"/>
          <w:kern w:val="2"/>
          <w:sz w:val="21"/>
          <w:szCs w:val="21"/>
          <w:highlight w:val="none"/>
          <w:lang w:val="zh-CN"/>
        </w:rPr>
        <w:t>（2）出现影响采购公正的违法、违规行为的；</w:t>
      </w:r>
    </w:p>
    <w:p>
      <w:pPr>
        <w:tabs>
          <w:tab w:val="left" w:pos="567"/>
        </w:tabs>
        <w:spacing w:line="360" w:lineRule="auto"/>
        <w:ind w:left="567" w:right="18"/>
        <w:jc w:val="both"/>
        <w:rPr>
          <w:rFonts w:hAnsi="宋体"/>
          <w:color w:val="auto"/>
          <w:kern w:val="2"/>
          <w:sz w:val="21"/>
          <w:szCs w:val="21"/>
          <w:highlight w:val="none"/>
          <w:lang w:val="zh-CN"/>
        </w:rPr>
      </w:pPr>
      <w:r>
        <w:rPr>
          <w:rFonts w:hint="eastAsia" w:hAnsi="宋体"/>
          <w:color w:val="auto"/>
          <w:kern w:val="2"/>
          <w:sz w:val="21"/>
          <w:szCs w:val="21"/>
          <w:highlight w:val="none"/>
          <w:lang w:val="zh-CN"/>
        </w:rPr>
        <w:t>（3）供应商的报价均超过了采购预算，采购人不能支付的</w:t>
      </w:r>
      <w:r>
        <w:rPr>
          <w:rFonts w:hAnsi="宋体"/>
          <w:color w:val="auto"/>
          <w:kern w:val="2"/>
          <w:sz w:val="21"/>
          <w:szCs w:val="21"/>
          <w:highlight w:val="none"/>
          <w:lang w:val="zh-CN"/>
        </w:rPr>
        <w:t>或均超过了最高限额</w:t>
      </w:r>
      <w:r>
        <w:rPr>
          <w:rFonts w:hint="eastAsia" w:hAnsi="宋体"/>
          <w:color w:val="auto"/>
          <w:kern w:val="2"/>
          <w:sz w:val="21"/>
          <w:szCs w:val="21"/>
          <w:highlight w:val="none"/>
          <w:lang w:val="zh-CN"/>
        </w:rPr>
        <w:t>；</w:t>
      </w:r>
    </w:p>
    <w:p>
      <w:pPr>
        <w:tabs>
          <w:tab w:val="left" w:pos="567"/>
        </w:tabs>
        <w:spacing w:line="360" w:lineRule="auto"/>
        <w:ind w:left="567"/>
        <w:jc w:val="both"/>
        <w:rPr>
          <w:rFonts w:hAnsi="宋体"/>
          <w:color w:val="auto"/>
          <w:kern w:val="2"/>
          <w:sz w:val="21"/>
          <w:szCs w:val="21"/>
          <w:highlight w:val="none"/>
          <w:lang w:val="zh-CN"/>
        </w:rPr>
      </w:pPr>
      <w:r>
        <w:rPr>
          <w:rFonts w:hint="eastAsia" w:hAnsi="宋体"/>
          <w:color w:val="auto"/>
          <w:kern w:val="2"/>
          <w:sz w:val="21"/>
          <w:szCs w:val="21"/>
          <w:highlight w:val="none"/>
          <w:lang w:val="zh-CN"/>
        </w:rPr>
        <w:t>（4）因重大变故，采购任务取消的。</w:t>
      </w:r>
    </w:p>
    <w:p>
      <w:pPr>
        <w:tabs>
          <w:tab w:val="left" w:pos="567"/>
        </w:tabs>
        <w:spacing w:line="360" w:lineRule="auto"/>
        <w:ind w:left="567" w:hanging="567"/>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34</w:t>
      </w:r>
      <w:r>
        <w:rPr>
          <w:rFonts w:hAnsi="宋体"/>
          <w:b/>
          <w:color w:val="auto"/>
          <w:kern w:val="2"/>
          <w:sz w:val="21"/>
          <w:szCs w:val="21"/>
          <w:highlight w:val="none"/>
          <w:lang w:val="zh-CN"/>
        </w:rPr>
        <w:tab/>
      </w:r>
      <w:r>
        <w:rPr>
          <w:rFonts w:hint="eastAsia" w:hAnsi="宋体"/>
          <w:b/>
          <w:color w:val="auto"/>
          <w:kern w:val="2"/>
          <w:sz w:val="21"/>
          <w:szCs w:val="21"/>
          <w:highlight w:val="none"/>
          <w:lang w:val="zh-CN"/>
        </w:rPr>
        <w:t>成交无效</w:t>
      </w:r>
    </w:p>
    <w:p>
      <w:pPr>
        <w:tabs>
          <w:tab w:val="left" w:pos="540"/>
          <w:tab w:val="left" w:pos="720"/>
          <w:tab w:val="left" w:pos="3460"/>
        </w:tabs>
        <w:spacing w:line="360" w:lineRule="auto"/>
        <w:ind w:left="540" w:right="18" w:hanging="540"/>
        <w:jc w:val="both"/>
        <w:rPr>
          <w:rFonts w:hAnsi="宋体"/>
          <w:color w:val="auto"/>
          <w:kern w:val="2"/>
          <w:sz w:val="21"/>
          <w:szCs w:val="21"/>
          <w:highlight w:val="none"/>
          <w:lang w:val="zh-CN"/>
        </w:rPr>
      </w:pPr>
      <w:r>
        <w:rPr>
          <w:rFonts w:hint="eastAsia" w:hAnsi="宋体"/>
          <w:color w:val="auto"/>
          <w:kern w:val="2"/>
          <w:sz w:val="21"/>
          <w:szCs w:val="21"/>
          <w:highlight w:val="none"/>
          <w:lang w:val="zh-CN"/>
        </w:rPr>
        <w:t>34</w:t>
      </w:r>
      <w:r>
        <w:rPr>
          <w:rFonts w:hAnsi="宋体"/>
          <w:color w:val="auto"/>
          <w:kern w:val="2"/>
          <w:sz w:val="21"/>
          <w:szCs w:val="21"/>
          <w:highlight w:val="none"/>
          <w:lang w:val="zh-CN"/>
        </w:rPr>
        <w:t>.</w:t>
      </w:r>
      <w:r>
        <w:rPr>
          <w:rFonts w:hint="eastAsia" w:hAnsi="宋体"/>
          <w:color w:val="auto"/>
          <w:kern w:val="2"/>
          <w:sz w:val="21"/>
          <w:szCs w:val="21"/>
          <w:highlight w:val="none"/>
          <w:lang w:val="zh-CN"/>
        </w:rPr>
        <w:t>1 供应商有下列情形之一的，将移交政府采购监督管理部门依法处理：</w:t>
      </w:r>
    </w:p>
    <w:p>
      <w:pPr>
        <w:tabs>
          <w:tab w:val="left" w:pos="540"/>
          <w:tab w:val="left" w:pos="1134"/>
        </w:tabs>
        <w:spacing w:line="360" w:lineRule="auto"/>
        <w:ind w:right="17" w:rightChars="7" w:firstLine="567" w:firstLineChars="270"/>
        <w:jc w:val="both"/>
        <w:rPr>
          <w:rFonts w:hAnsi="宋体"/>
          <w:color w:val="auto"/>
          <w:kern w:val="2"/>
          <w:sz w:val="21"/>
          <w:szCs w:val="21"/>
          <w:highlight w:val="none"/>
          <w:lang w:val="zh-CN"/>
        </w:rPr>
      </w:pPr>
      <w:r>
        <w:rPr>
          <w:rFonts w:hint="eastAsia" w:hAnsi="宋体"/>
          <w:color w:val="auto"/>
          <w:kern w:val="2"/>
          <w:sz w:val="21"/>
          <w:szCs w:val="21"/>
          <w:highlight w:val="none"/>
          <w:lang w:val="zh-CN"/>
        </w:rPr>
        <w:t>（1）提供虚假材料谋取成交的；</w:t>
      </w:r>
    </w:p>
    <w:p>
      <w:pPr>
        <w:tabs>
          <w:tab w:val="left" w:pos="540"/>
          <w:tab w:val="left" w:pos="1134"/>
        </w:tabs>
        <w:spacing w:line="360" w:lineRule="auto"/>
        <w:ind w:right="17" w:rightChars="7" w:firstLine="567" w:firstLineChars="270"/>
        <w:jc w:val="both"/>
        <w:rPr>
          <w:rFonts w:hAnsi="宋体"/>
          <w:color w:val="auto"/>
          <w:kern w:val="2"/>
          <w:sz w:val="21"/>
          <w:szCs w:val="21"/>
          <w:highlight w:val="none"/>
          <w:lang w:val="zh-CN"/>
        </w:rPr>
      </w:pPr>
      <w:r>
        <w:rPr>
          <w:rFonts w:hint="eastAsia" w:hAnsi="宋体"/>
          <w:color w:val="auto"/>
          <w:kern w:val="2"/>
          <w:sz w:val="21"/>
          <w:szCs w:val="21"/>
          <w:highlight w:val="none"/>
          <w:lang w:val="zh-CN"/>
        </w:rPr>
        <w:t>（2）采取不正当手段诋毁、排挤其他供应商的；</w:t>
      </w:r>
    </w:p>
    <w:p>
      <w:pPr>
        <w:tabs>
          <w:tab w:val="left" w:pos="540"/>
          <w:tab w:val="left" w:pos="1134"/>
        </w:tabs>
        <w:spacing w:line="360" w:lineRule="auto"/>
        <w:ind w:right="17" w:rightChars="7" w:firstLine="567" w:firstLineChars="270"/>
        <w:jc w:val="both"/>
        <w:rPr>
          <w:rFonts w:hAnsi="宋体"/>
          <w:color w:val="auto"/>
          <w:kern w:val="2"/>
          <w:sz w:val="21"/>
          <w:szCs w:val="21"/>
          <w:highlight w:val="none"/>
          <w:lang w:val="zh-CN"/>
        </w:rPr>
      </w:pPr>
      <w:r>
        <w:rPr>
          <w:rFonts w:hint="eastAsia" w:hAnsi="宋体"/>
          <w:color w:val="auto"/>
          <w:kern w:val="2"/>
          <w:sz w:val="21"/>
          <w:szCs w:val="21"/>
          <w:highlight w:val="none"/>
          <w:lang w:val="zh-CN"/>
        </w:rPr>
        <w:t>（3）与采购单位、其他供应商恶意串通的；</w:t>
      </w:r>
    </w:p>
    <w:p>
      <w:pPr>
        <w:tabs>
          <w:tab w:val="left" w:pos="540"/>
          <w:tab w:val="left" w:pos="1134"/>
        </w:tabs>
        <w:spacing w:line="360" w:lineRule="auto"/>
        <w:ind w:right="17" w:rightChars="7" w:firstLine="567" w:firstLineChars="270"/>
        <w:jc w:val="both"/>
        <w:rPr>
          <w:rFonts w:hAnsi="宋体"/>
          <w:color w:val="auto"/>
          <w:kern w:val="2"/>
          <w:sz w:val="21"/>
          <w:szCs w:val="21"/>
          <w:highlight w:val="none"/>
          <w:lang w:val="zh-CN"/>
        </w:rPr>
      </w:pPr>
      <w:r>
        <w:rPr>
          <w:rFonts w:hint="eastAsia" w:hAnsi="宋体"/>
          <w:color w:val="auto"/>
          <w:kern w:val="2"/>
          <w:sz w:val="21"/>
          <w:szCs w:val="21"/>
          <w:highlight w:val="none"/>
          <w:lang w:val="zh-CN"/>
        </w:rPr>
        <w:t>（4）向采购单位行贿或者提供其他不正当利益的；</w:t>
      </w:r>
    </w:p>
    <w:p>
      <w:pPr>
        <w:tabs>
          <w:tab w:val="left" w:pos="540"/>
          <w:tab w:val="left" w:pos="1134"/>
        </w:tabs>
        <w:spacing w:line="360" w:lineRule="auto"/>
        <w:ind w:left="566" w:leftChars="236" w:right="17" w:rightChars="7"/>
        <w:jc w:val="both"/>
        <w:rPr>
          <w:rFonts w:hAnsi="宋体"/>
          <w:color w:val="auto"/>
          <w:kern w:val="2"/>
          <w:sz w:val="21"/>
          <w:szCs w:val="21"/>
          <w:highlight w:val="none"/>
          <w:lang w:val="zh-CN"/>
        </w:rPr>
      </w:pPr>
      <w:r>
        <w:rPr>
          <w:rFonts w:hint="eastAsia" w:hAnsi="宋体"/>
          <w:color w:val="auto"/>
          <w:kern w:val="2"/>
          <w:sz w:val="21"/>
          <w:szCs w:val="21"/>
          <w:highlight w:val="none"/>
          <w:lang w:val="zh-CN"/>
        </w:rPr>
        <w:t>（5）在采购过程中与采购单位进行协商谈判、不按照磋商文件和成交供应商的响应文件订立合同，或者与采购单位另行订立背离合同实质性内容的协议的；</w:t>
      </w:r>
    </w:p>
    <w:p>
      <w:pPr>
        <w:tabs>
          <w:tab w:val="left" w:pos="540"/>
          <w:tab w:val="left" w:pos="1134"/>
        </w:tabs>
        <w:spacing w:line="360" w:lineRule="auto"/>
        <w:ind w:right="17" w:rightChars="7" w:firstLine="567" w:firstLineChars="270"/>
        <w:jc w:val="both"/>
        <w:rPr>
          <w:rFonts w:hAnsi="宋体"/>
          <w:color w:val="auto"/>
          <w:kern w:val="2"/>
          <w:sz w:val="21"/>
          <w:szCs w:val="21"/>
          <w:highlight w:val="none"/>
          <w:lang w:val="zh-CN"/>
        </w:rPr>
      </w:pPr>
      <w:r>
        <w:rPr>
          <w:rFonts w:hint="eastAsia" w:hAnsi="宋体"/>
          <w:color w:val="auto"/>
          <w:kern w:val="2"/>
          <w:sz w:val="21"/>
          <w:szCs w:val="21"/>
          <w:highlight w:val="none"/>
          <w:lang w:val="zh-CN"/>
        </w:rPr>
        <w:t>（6）拒绝有关部门监督检查或者提供虚假情况的。</w:t>
      </w:r>
    </w:p>
    <w:p>
      <w:pPr>
        <w:tabs>
          <w:tab w:val="left" w:pos="540"/>
          <w:tab w:val="left" w:pos="720"/>
          <w:tab w:val="left" w:pos="3460"/>
        </w:tabs>
        <w:spacing w:line="360" w:lineRule="auto"/>
        <w:ind w:left="120" w:leftChars="50" w:right="18" w:firstLine="420" w:firstLine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供应商有前款（1）至（5）项情形之一的，成交无效。</w:t>
      </w:r>
    </w:p>
    <w:p>
      <w:pPr>
        <w:tabs>
          <w:tab w:val="left" w:pos="567"/>
        </w:tabs>
        <w:spacing w:line="360" w:lineRule="auto"/>
        <w:ind w:left="567" w:hanging="567"/>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35</w:t>
      </w:r>
      <w:r>
        <w:rPr>
          <w:rFonts w:hAnsi="宋体"/>
          <w:b/>
          <w:color w:val="auto"/>
          <w:kern w:val="2"/>
          <w:sz w:val="21"/>
          <w:szCs w:val="21"/>
          <w:highlight w:val="none"/>
          <w:lang w:val="zh-CN"/>
        </w:rPr>
        <w:tab/>
      </w:r>
      <w:r>
        <w:rPr>
          <w:rFonts w:hint="eastAsia" w:hAnsi="宋体"/>
          <w:b/>
          <w:color w:val="auto"/>
          <w:kern w:val="2"/>
          <w:sz w:val="21"/>
          <w:szCs w:val="21"/>
          <w:highlight w:val="none"/>
          <w:lang w:val="zh-CN"/>
        </w:rPr>
        <w:t>终止公告</w:t>
      </w:r>
    </w:p>
    <w:p>
      <w:pPr>
        <w:spacing w:line="360" w:lineRule="auto"/>
        <w:ind w:left="540" w:right="18" w:hanging="540"/>
        <w:jc w:val="both"/>
        <w:rPr>
          <w:rFonts w:hAnsi="宋体"/>
          <w:color w:val="auto"/>
          <w:kern w:val="2"/>
          <w:sz w:val="21"/>
          <w:szCs w:val="21"/>
          <w:highlight w:val="none"/>
          <w:lang w:val="zh-CN"/>
        </w:rPr>
      </w:pPr>
      <w:r>
        <w:rPr>
          <w:rFonts w:hint="eastAsia" w:hAnsi="宋体"/>
          <w:color w:val="auto"/>
          <w:kern w:val="2"/>
          <w:sz w:val="21"/>
          <w:szCs w:val="21"/>
          <w:highlight w:val="none"/>
          <w:lang w:val="zh-CN"/>
        </w:rPr>
        <w:t>35</w:t>
      </w:r>
      <w:r>
        <w:rPr>
          <w:rFonts w:hAnsi="宋体"/>
          <w:color w:val="auto"/>
          <w:kern w:val="2"/>
          <w:sz w:val="21"/>
          <w:szCs w:val="21"/>
          <w:highlight w:val="none"/>
          <w:lang w:val="zh-CN"/>
        </w:rPr>
        <w:t>.</w:t>
      </w:r>
      <w:r>
        <w:rPr>
          <w:rFonts w:hint="eastAsia" w:hAnsi="宋体"/>
          <w:color w:val="auto"/>
          <w:kern w:val="2"/>
          <w:sz w:val="21"/>
          <w:szCs w:val="21"/>
          <w:highlight w:val="none"/>
          <w:lang w:val="zh-CN"/>
        </w:rPr>
        <w:t>1 项目废标后，采购人或采购代理机构将在采购与招标网(元博网)，广东中科招标有限公司官网上发布终止公告，终止公告的公告期限为1个工作日。</w:t>
      </w:r>
    </w:p>
    <w:p>
      <w:pPr>
        <w:tabs>
          <w:tab w:val="left" w:pos="567"/>
        </w:tabs>
        <w:spacing w:line="360" w:lineRule="auto"/>
        <w:ind w:left="567" w:hanging="567"/>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36</w:t>
      </w:r>
      <w:r>
        <w:rPr>
          <w:rFonts w:hAnsi="宋体"/>
          <w:b/>
          <w:color w:val="auto"/>
          <w:kern w:val="2"/>
          <w:sz w:val="21"/>
          <w:szCs w:val="21"/>
          <w:highlight w:val="none"/>
          <w:lang w:val="zh-CN"/>
        </w:rPr>
        <w:tab/>
      </w:r>
      <w:r>
        <w:rPr>
          <w:rFonts w:hint="eastAsia" w:hAnsi="宋体"/>
          <w:b/>
          <w:color w:val="auto"/>
          <w:kern w:val="2"/>
          <w:sz w:val="21"/>
          <w:szCs w:val="21"/>
          <w:highlight w:val="none"/>
          <w:lang w:val="zh-CN"/>
        </w:rPr>
        <w:t>合同签订和履行</w:t>
      </w:r>
    </w:p>
    <w:p>
      <w:pPr>
        <w:tabs>
          <w:tab w:val="left" w:pos="540"/>
        </w:tabs>
        <w:spacing w:line="360" w:lineRule="auto"/>
        <w:ind w:left="540" w:right="18" w:hanging="540"/>
        <w:jc w:val="both"/>
        <w:rPr>
          <w:rFonts w:hAnsi="宋体"/>
          <w:color w:val="auto"/>
          <w:kern w:val="2"/>
          <w:sz w:val="21"/>
          <w:szCs w:val="21"/>
          <w:highlight w:val="none"/>
          <w:lang w:val="zh-CN"/>
        </w:rPr>
      </w:pPr>
      <w:r>
        <w:rPr>
          <w:rFonts w:hAnsi="宋体"/>
          <w:color w:val="auto"/>
          <w:kern w:val="2"/>
          <w:sz w:val="21"/>
          <w:szCs w:val="21"/>
          <w:highlight w:val="none"/>
          <w:lang w:val="zh-CN"/>
        </w:rPr>
        <w:t>3</w:t>
      </w:r>
      <w:r>
        <w:rPr>
          <w:rFonts w:hint="eastAsia" w:hAnsi="宋体"/>
          <w:color w:val="auto"/>
          <w:kern w:val="2"/>
          <w:sz w:val="21"/>
          <w:szCs w:val="21"/>
          <w:highlight w:val="none"/>
          <w:lang w:val="zh-CN"/>
        </w:rPr>
        <w:t>6</w:t>
      </w:r>
      <w:r>
        <w:rPr>
          <w:rFonts w:hAnsi="宋体"/>
          <w:color w:val="auto"/>
          <w:kern w:val="2"/>
          <w:sz w:val="21"/>
          <w:szCs w:val="21"/>
          <w:highlight w:val="none"/>
          <w:lang w:val="zh-CN"/>
        </w:rPr>
        <w:t>.1</w:t>
      </w:r>
      <w:r>
        <w:rPr>
          <w:rFonts w:hint="eastAsia" w:hAnsi="宋体"/>
          <w:color w:val="auto"/>
          <w:kern w:val="2"/>
          <w:sz w:val="21"/>
          <w:szCs w:val="21"/>
          <w:highlight w:val="none"/>
          <w:lang w:val="zh-CN"/>
        </w:rPr>
        <w:tab/>
      </w:r>
      <w:r>
        <w:rPr>
          <w:rFonts w:hint="eastAsia" w:hAnsi="宋体"/>
          <w:color w:val="auto"/>
          <w:kern w:val="2"/>
          <w:sz w:val="21"/>
          <w:szCs w:val="21"/>
          <w:highlight w:val="none"/>
          <w:lang w:val="zh-CN"/>
        </w:rPr>
        <w:t>采购人应当自《成交通知书》发出之日起三十日内（</w:t>
      </w:r>
      <w:r>
        <w:rPr>
          <w:rFonts w:hint="eastAsia" w:hAnsi="宋体"/>
          <w:color w:val="auto"/>
          <w:kern w:val="2"/>
          <w:sz w:val="21"/>
          <w:szCs w:val="21"/>
          <w:highlight w:val="none"/>
        </w:rPr>
        <w:t>东莞</w:t>
      </w:r>
      <w:r>
        <w:rPr>
          <w:rFonts w:hint="eastAsia" w:hAnsi="宋体"/>
          <w:color w:val="auto"/>
          <w:kern w:val="2"/>
          <w:sz w:val="21"/>
          <w:szCs w:val="21"/>
          <w:highlight w:val="none"/>
          <w:lang w:val="zh-CN"/>
        </w:rPr>
        <w:t>市规定自《成交通知书》发出之日起二十日内签订合同），按照磋商文件和成交供应商响应文件的约定，与成交供应商签订合同。所签订的合同不得对磋商文件和成交供应商响应文件作实质性修改。超过30天尚未完成政府采购合同签订的政府采购项目，采购人应当填报未能依法签订政府采购合同的具体原因、整改措施和预计签订合同时间等信息。</w:t>
      </w:r>
    </w:p>
    <w:p>
      <w:pPr>
        <w:tabs>
          <w:tab w:val="left" w:pos="540"/>
        </w:tabs>
        <w:spacing w:line="360" w:lineRule="auto"/>
        <w:ind w:left="540" w:right="18" w:hanging="540"/>
        <w:jc w:val="both"/>
        <w:rPr>
          <w:rFonts w:hAnsi="宋体"/>
          <w:color w:val="auto"/>
          <w:kern w:val="2"/>
          <w:sz w:val="21"/>
          <w:szCs w:val="21"/>
          <w:highlight w:val="none"/>
          <w:lang w:val="zh-CN"/>
        </w:rPr>
      </w:pPr>
      <w:r>
        <w:rPr>
          <w:rFonts w:hAnsi="宋体"/>
          <w:color w:val="auto"/>
          <w:kern w:val="2"/>
          <w:sz w:val="21"/>
          <w:szCs w:val="21"/>
          <w:highlight w:val="none"/>
          <w:lang w:val="zh-CN"/>
        </w:rPr>
        <w:t>3</w:t>
      </w:r>
      <w:r>
        <w:rPr>
          <w:rFonts w:hint="eastAsia" w:hAnsi="宋体"/>
          <w:color w:val="auto"/>
          <w:kern w:val="2"/>
          <w:sz w:val="21"/>
          <w:szCs w:val="21"/>
          <w:highlight w:val="none"/>
          <w:lang w:val="zh-CN"/>
        </w:rPr>
        <w:t>6</w:t>
      </w:r>
      <w:r>
        <w:rPr>
          <w:rFonts w:hAnsi="宋体"/>
          <w:color w:val="auto"/>
          <w:kern w:val="2"/>
          <w:sz w:val="21"/>
          <w:szCs w:val="21"/>
          <w:highlight w:val="none"/>
          <w:lang w:val="zh-CN"/>
        </w:rPr>
        <w:t>.</w:t>
      </w:r>
      <w:r>
        <w:rPr>
          <w:rFonts w:hint="eastAsia" w:hAnsi="宋体"/>
          <w:color w:val="auto"/>
          <w:kern w:val="2"/>
          <w:sz w:val="21"/>
          <w:szCs w:val="21"/>
          <w:highlight w:val="none"/>
          <w:lang w:val="zh-CN"/>
        </w:rPr>
        <w:t>2</w:t>
      </w:r>
      <w:r>
        <w:rPr>
          <w:rFonts w:hint="eastAsia" w:hAnsi="宋体"/>
          <w:color w:val="auto"/>
          <w:kern w:val="2"/>
          <w:sz w:val="21"/>
          <w:szCs w:val="21"/>
          <w:highlight w:val="none"/>
          <w:lang w:val="zh-CN"/>
        </w:rPr>
        <w:tab/>
      </w:r>
      <w:r>
        <w:rPr>
          <w:rFonts w:hint="eastAsia" w:hAnsi="宋体"/>
          <w:color w:val="auto"/>
          <w:kern w:val="2"/>
          <w:sz w:val="21"/>
          <w:szCs w:val="21"/>
          <w:highlight w:val="none"/>
          <w:lang w:val="zh-CN"/>
        </w:rPr>
        <w:t>采购人不得提出试用合格等任何不合理的要求作为签订合同的条件，且不得与成交供应商私下订立背离合同实质性内容的协议。</w:t>
      </w:r>
    </w:p>
    <w:p>
      <w:pPr>
        <w:tabs>
          <w:tab w:val="left" w:pos="540"/>
        </w:tabs>
        <w:spacing w:line="360" w:lineRule="auto"/>
        <w:ind w:left="540" w:right="18" w:hanging="540"/>
        <w:jc w:val="both"/>
        <w:rPr>
          <w:rFonts w:hAnsi="宋体"/>
          <w:color w:val="auto"/>
          <w:kern w:val="2"/>
          <w:sz w:val="21"/>
          <w:szCs w:val="21"/>
          <w:highlight w:val="none"/>
          <w:lang w:val="zh-CN"/>
        </w:rPr>
      </w:pPr>
      <w:r>
        <w:rPr>
          <w:rFonts w:hAnsi="宋体"/>
          <w:color w:val="auto"/>
          <w:kern w:val="2"/>
          <w:sz w:val="21"/>
          <w:szCs w:val="21"/>
          <w:highlight w:val="none"/>
          <w:lang w:val="zh-CN"/>
        </w:rPr>
        <w:t>3</w:t>
      </w:r>
      <w:r>
        <w:rPr>
          <w:rFonts w:hint="eastAsia" w:hAnsi="宋体"/>
          <w:color w:val="auto"/>
          <w:kern w:val="2"/>
          <w:sz w:val="21"/>
          <w:szCs w:val="21"/>
          <w:highlight w:val="none"/>
          <w:lang w:val="zh-CN"/>
        </w:rPr>
        <w:t>6</w:t>
      </w:r>
      <w:r>
        <w:rPr>
          <w:rFonts w:hAnsi="宋体"/>
          <w:color w:val="auto"/>
          <w:kern w:val="2"/>
          <w:sz w:val="21"/>
          <w:szCs w:val="21"/>
          <w:highlight w:val="none"/>
          <w:lang w:val="zh-CN"/>
        </w:rPr>
        <w:t>.</w:t>
      </w:r>
      <w:r>
        <w:rPr>
          <w:rFonts w:hint="eastAsia" w:hAnsi="宋体"/>
          <w:color w:val="auto"/>
          <w:kern w:val="2"/>
          <w:sz w:val="21"/>
          <w:szCs w:val="21"/>
          <w:highlight w:val="none"/>
          <w:lang w:val="zh-CN"/>
        </w:rPr>
        <w:t>3</w:t>
      </w:r>
      <w:r>
        <w:rPr>
          <w:rFonts w:hint="eastAsia" w:hAnsi="宋体"/>
          <w:color w:val="auto"/>
          <w:kern w:val="2"/>
          <w:sz w:val="21"/>
          <w:szCs w:val="21"/>
          <w:highlight w:val="none"/>
          <w:lang w:val="zh-CN"/>
        </w:rPr>
        <w:tab/>
      </w:r>
      <w:r>
        <w:rPr>
          <w:rFonts w:hint="eastAsia" w:hAnsi="宋体"/>
          <w:color w:val="auto"/>
          <w:kern w:val="2"/>
          <w:sz w:val="21"/>
          <w:szCs w:val="21"/>
          <w:highlight w:val="none"/>
          <w:lang w:val="zh-CN"/>
        </w:rPr>
        <w:t>采购人应当自政府采购合同签订之日起2个工作日内，将政府采购合同在省级以上人民政府财政部门指定的媒体上公告，但政府采购合同中涉及国家秘密、商业秘密的内容除外。</w:t>
      </w:r>
    </w:p>
    <w:p>
      <w:pPr>
        <w:tabs>
          <w:tab w:val="left" w:pos="540"/>
        </w:tabs>
        <w:spacing w:line="360" w:lineRule="auto"/>
        <w:ind w:left="540" w:right="18" w:hanging="540"/>
        <w:jc w:val="both"/>
        <w:rPr>
          <w:rFonts w:hAnsi="宋体"/>
          <w:color w:val="auto"/>
          <w:kern w:val="2"/>
          <w:sz w:val="21"/>
          <w:szCs w:val="21"/>
          <w:highlight w:val="none"/>
          <w:lang w:val="zh-CN"/>
        </w:rPr>
      </w:pPr>
      <w:r>
        <w:rPr>
          <w:rFonts w:hAnsi="宋体"/>
          <w:color w:val="auto"/>
          <w:kern w:val="2"/>
          <w:sz w:val="21"/>
          <w:szCs w:val="21"/>
          <w:highlight w:val="none"/>
          <w:lang w:val="zh-CN"/>
        </w:rPr>
        <w:t>3</w:t>
      </w:r>
      <w:r>
        <w:rPr>
          <w:rFonts w:hint="eastAsia" w:hAnsi="宋体"/>
          <w:color w:val="auto"/>
          <w:kern w:val="2"/>
          <w:sz w:val="21"/>
          <w:szCs w:val="21"/>
          <w:highlight w:val="none"/>
          <w:lang w:val="zh-CN"/>
        </w:rPr>
        <w:t>6</w:t>
      </w:r>
      <w:r>
        <w:rPr>
          <w:rFonts w:hAnsi="宋体"/>
          <w:color w:val="auto"/>
          <w:kern w:val="2"/>
          <w:sz w:val="21"/>
          <w:szCs w:val="21"/>
          <w:highlight w:val="none"/>
          <w:lang w:val="zh-CN"/>
        </w:rPr>
        <w:t>.</w:t>
      </w:r>
      <w:r>
        <w:rPr>
          <w:rFonts w:hint="eastAsia" w:hAnsi="宋体"/>
          <w:color w:val="auto"/>
          <w:kern w:val="2"/>
          <w:sz w:val="21"/>
          <w:szCs w:val="21"/>
          <w:highlight w:val="none"/>
          <w:lang w:val="zh-CN"/>
        </w:rPr>
        <w:t>4</w:t>
      </w:r>
      <w:r>
        <w:rPr>
          <w:rFonts w:hint="eastAsia" w:hAnsi="宋体"/>
          <w:color w:val="auto"/>
          <w:kern w:val="2"/>
          <w:sz w:val="21"/>
          <w:szCs w:val="21"/>
          <w:highlight w:val="none"/>
          <w:lang w:val="zh-CN"/>
        </w:rPr>
        <w:tab/>
      </w:r>
      <w:r>
        <w:rPr>
          <w:rFonts w:hint="eastAsia" w:hAnsi="宋体"/>
          <w:color w:val="auto"/>
          <w:kern w:val="2"/>
          <w:sz w:val="21"/>
          <w:szCs w:val="21"/>
          <w:highlight w:val="none"/>
          <w:lang w:val="zh-CN"/>
        </w:rPr>
        <w:t>采购人应当自政府采购合同签订之日起2个工作日内，依法签订的补充合同，也应在补充合同签订之日起2个工作日内公开并备案采购合同。</w:t>
      </w:r>
    </w:p>
    <w:p>
      <w:pPr>
        <w:tabs>
          <w:tab w:val="left" w:pos="540"/>
        </w:tabs>
        <w:spacing w:line="360" w:lineRule="auto"/>
        <w:ind w:left="540" w:right="18" w:hanging="540"/>
        <w:jc w:val="both"/>
        <w:rPr>
          <w:rFonts w:hAnsi="宋体"/>
          <w:color w:val="auto"/>
          <w:kern w:val="2"/>
          <w:sz w:val="21"/>
          <w:szCs w:val="21"/>
          <w:highlight w:val="none"/>
          <w:lang w:val="zh-CN"/>
        </w:rPr>
      </w:pPr>
      <w:r>
        <w:rPr>
          <w:rFonts w:hAnsi="宋体"/>
          <w:color w:val="auto"/>
          <w:kern w:val="2"/>
          <w:sz w:val="21"/>
          <w:szCs w:val="21"/>
          <w:highlight w:val="none"/>
          <w:lang w:val="zh-CN"/>
        </w:rPr>
        <w:t>3</w:t>
      </w:r>
      <w:r>
        <w:rPr>
          <w:rFonts w:hint="eastAsia" w:hAnsi="宋体"/>
          <w:color w:val="auto"/>
          <w:kern w:val="2"/>
          <w:sz w:val="21"/>
          <w:szCs w:val="21"/>
          <w:highlight w:val="none"/>
          <w:lang w:val="zh-CN"/>
        </w:rPr>
        <w:t>6</w:t>
      </w:r>
      <w:r>
        <w:rPr>
          <w:rFonts w:hAnsi="宋体"/>
          <w:color w:val="auto"/>
          <w:kern w:val="2"/>
          <w:sz w:val="21"/>
          <w:szCs w:val="21"/>
          <w:highlight w:val="none"/>
          <w:lang w:val="zh-CN"/>
        </w:rPr>
        <w:t>.</w:t>
      </w:r>
      <w:r>
        <w:rPr>
          <w:rFonts w:hint="eastAsia" w:hAnsi="宋体"/>
          <w:color w:val="auto"/>
          <w:kern w:val="2"/>
          <w:sz w:val="21"/>
          <w:szCs w:val="21"/>
          <w:highlight w:val="none"/>
          <w:lang w:val="zh-CN"/>
        </w:rPr>
        <w:t>5</w:t>
      </w:r>
      <w:r>
        <w:rPr>
          <w:rFonts w:hint="eastAsia" w:hAnsi="宋体"/>
          <w:color w:val="auto"/>
          <w:kern w:val="2"/>
          <w:sz w:val="21"/>
          <w:szCs w:val="21"/>
          <w:highlight w:val="none"/>
          <w:lang w:val="zh-CN"/>
        </w:rPr>
        <w:tab/>
      </w:r>
      <w:r>
        <w:rPr>
          <w:rFonts w:hint="eastAsia" w:hAnsi="宋体"/>
          <w:color w:val="auto"/>
          <w:kern w:val="2"/>
          <w:sz w:val="21"/>
          <w:szCs w:val="21"/>
          <w:highlight w:val="none"/>
          <w:lang w:val="zh-CN"/>
        </w:rPr>
        <w:t>政府采购合同订立后，合同各方不得擅自变更、中止或者终止合同。政府采购合同需要变更的，采购人应将有关合同变更内容，以书面形式报政府采购监督管理机关备案；因特殊情况需要中止或终止合同的，采购人应将中止或终止合同的理由以及相应措施，以书面形式报政府采购监督管理机关备案。</w:t>
      </w:r>
    </w:p>
    <w:p>
      <w:pPr>
        <w:tabs>
          <w:tab w:val="left" w:pos="540"/>
        </w:tabs>
        <w:spacing w:line="360" w:lineRule="auto"/>
        <w:ind w:left="540" w:right="18" w:hanging="540"/>
        <w:jc w:val="both"/>
        <w:rPr>
          <w:rFonts w:hAnsi="宋体"/>
          <w:color w:val="auto"/>
          <w:kern w:val="2"/>
          <w:sz w:val="21"/>
          <w:szCs w:val="21"/>
          <w:highlight w:val="none"/>
          <w:lang w:val="zh-CN"/>
        </w:rPr>
      </w:pPr>
      <w:r>
        <w:rPr>
          <w:rFonts w:hAnsi="宋体"/>
          <w:color w:val="auto"/>
          <w:kern w:val="2"/>
          <w:sz w:val="21"/>
          <w:szCs w:val="21"/>
          <w:highlight w:val="none"/>
          <w:lang w:val="zh-CN"/>
        </w:rPr>
        <w:t>3</w:t>
      </w:r>
      <w:r>
        <w:rPr>
          <w:rFonts w:hint="eastAsia" w:hAnsi="宋体"/>
          <w:color w:val="auto"/>
          <w:kern w:val="2"/>
          <w:sz w:val="21"/>
          <w:szCs w:val="21"/>
          <w:highlight w:val="none"/>
          <w:lang w:val="zh-CN"/>
        </w:rPr>
        <w:t>6</w:t>
      </w:r>
      <w:r>
        <w:rPr>
          <w:rFonts w:hAnsi="宋体"/>
          <w:color w:val="auto"/>
          <w:kern w:val="2"/>
          <w:sz w:val="21"/>
          <w:szCs w:val="21"/>
          <w:highlight w:val="none"/>
          <w:lang w:val="zh-CN"/>
        </w:rPr>
        <w:t>.</w:t>
      </w:r>
      <w:r>
        <w:rPr>
          <w:rFonts w:hint="eastAsia" w:hAnsi="宋体"/>
          <w:color w:val="auto"/>
          <w:kern w:val="2"/>
          <w:sz w:val="21"/>
          <w:szCs w:val="21"/>
          <w:highlight w:val="none"/>
          <w:lang w:val="zh-CN"/>
        </w:rPr>
        <w:t>6</w:t>
      </w:r>
      <w:r>
        <w:rPr>
          <w:rFonts w:hint="eastAsia" w:hAnsi="宋体"/>
          <w:color w:val="auto"/>
          <w:kern w:val="2"/>
          <w:sz w:val="21"/>
          <w:szCs w:val="21"/>
          <w:highlight w:val="none"/>
          <w:lang w:val="zh-CN"/>
        </w:rPr>
        <w:tab/>
      </w:r>
      <w:r>
        <w:rPr>
          <w:rFonts w:hint="eastAsia" w:hAnsi="宋体"/>
          <w:color w:val="auto"/>
          <w:kern w:val="2"/>
          <w:sz w:val="21"/>
          <w:szCs w:val="21"/>
          <w:highlight w:val="none"/>
          <w:lang w:val="zh-CN"/>
        </w:rPr>
        <w:t>政府采购合同履行中，采购人需追加与合同标的相同的货物、工程或者服务的，在不改变合同其他条款的前提下，可以与成交供应商签订补充合同，但所补充合同的采购金额不得超过原采购金额的10%。依法签订的补充合同，也应在补充合同签订之日起2个工作日备案。</w:t>
      </w:r>
    </w:p>
    <w:p>
      <w:pPr>
        <w:tabs>
          <w:tab w:val="left" w:pos="567"/>
        </w:tabs>
        <w:spacing w:line="360" w:lineRule="auto"/>
        <w:ind w:left="567" w:hanging="567"/>
        <w:jc w:val="both"/>
        <w:rPr>
          <w:rFonts w:hAnsi="宋体"/>
          <w:b/>
          <w:color w:val="auto"/>
          <w:kern w:val="2"/>
          <w:sz w:val="21"/>
          <w:szCs w:val="21"/>
          <w:highlight w:val="none"/>
          <w:lang w:val="zh-CN"/>
        </w:rPr>
      </w:pPr>
      <w:r>
        <w:rPr>
          <w:rFonts w:hAnsi="宋体"/>
          <w:b/>
          <w:color w:val="auto"/>
          <w:kern w:val="2"/>
          <w:sz w:val="21"/>
          <w:szCs w:val="21"/>
          <w:highlight w:val="none"/>
          <w:lang w:val="zh-CN"/>
        </w:rPr>
        <w:t>3</w:t>
      </w:r>
      <w:r>
        <w:rPr>
          <w:rFonts w:hint="eastAsia" w:hAnsi="宋体"/>
          <w:b/>
          <w:color w:val="auto"/>
          <w:kern w:val="2"/>
          <w:sz w:val="21"/>
          <w:szCs w:val="21"/>
          <w:highlight w:val="none"/>
          <w:lang w:val="zh-CN"/>
        </w:rPr>
        <w:t>7</w:t>
      </w:r>
      <w:r>
        <w:rPr>
          <w:rFonts w:hAnsi="宋体"/>
          <w:b/>
          <w:color w:val="auto"/>
          <w:kern w:val="2"/>
          <w:sz w:val="21"/>
          <w:szCs w:val="21"/>
          <w:highlight w:val="none"/>
          <w:lang w:val="zh-CN"/>
        </w:rPr>
        <w:tab/>
      </w:r>
      <w:r>
        <w:rPr>
          <w:rFonts w:hint="eastAsia" w:hAnsi="宋体"/>
          <w:b/>
          <w:color w:val="auto"/>
          <w:kern w:val="2"/>
          <w:sz w:val="21"/>
          <w:szCs w:val="21"/>
          <w:highlight w:val="none"/>
          <w:lang w:val="zh-CN"/>
        </w:rPr>
        <w:t>履约保证金</w:t>
      </w:r>
    </w:p>
    <w:p>
      <w:pPr>
        <w:spacing w:line="360" w:lineRule="auto"/>
        <w:ind w:left="636" w:hanging="636" w:hangingChars="303"/>
        <w:rPr>
          <w:rFonts w:hAnsi="宋体"/>
          <w:color w:val="auto"/>
          <w:kern w:val="2"/>
          <w:sz w:val="21"/>
          <w:szCs w:val="21"/>
          <w:highlight w:val="none"/>
          <w:lang w:val="zh-CN"/>
        </w:rPr>
      </w:pPr>
      <w:r>
        <w:rPr>
          <w:rFonts w:hint="eastAsia" w:hAnsi="宋体"/>
          <w:bCs/>
          <w:color w:val="auto"/>
          <w:kern w:val="2"/>
          <w:sz w:val="21"/>
          <w:szCs w:val="21"/>
          <w:highlight w:val="none"/>
          <w:lang w:val="zh-CN"/>
        </w:rPr>
        <w:t xml:space="preserve">37.1  </w:t>
      </w:r>
      <w:r>
        <w:rPr>
          <w:rFonts w:hint="eastAsia" w:hAnsi="宋体"/>
          <w:bCs/>
          <w:color w:val="auto"/>
          <w:sz w:val="21"/>
          <w:szCs w:val="21"/>
          <w:highlight w:val="none"/>
        </w:rPr>
        <w:t>成交供应商向采购人提交履约保证金，履约保证金形式</w:t>
      </w:r>
      <w:r>
        <w:rPr>
          <w:rFonts w:hAnsi="宋体"/>
          <w:bCs/>
          <w:color w:val="auto"/>
          <w:sz w:val="21"/>
          <w:szCs w:val="21"/>
          <w:highlight w:val="none"/>
        </w:rPr>
        <w:t>、</w:t>
      </w:r>
      <w:r>
        <w:rPr>
          <w:rFonts w:hint="eastAsia" w:hAnsi="宋体"/>
          <w:bCs/>
          <w:color w:val="auto"/>
          <w:sz w:val="21"/>
          <w:szCs w:val="21"/>
          <w:highlight w:val="none"/>
        </w:rPr>
        <w:t>金额及账户信息详见《供应商须知前附表》。</w:t>
      </w:r>
    </w:p>
    <w:p>
      <w:pPr>
        <w:spacing w:line="360" w:lineRule="auto"/>
        <w:ind w:left="636" w:hanging="636" w:hangingChars="303"/>
        <w:rPr>
          <w:rFonts w:hAnsi="宋体"/>
          <w:bCs/>
          <w:color w:val="auto"/>
          <w:kern w:val="2"/>
          <w:sz w:val="21"/>
          <w:szCs w:val="21"/>
          <w:highlight w:val="none"/>
          <w:lang w:val="zh-CN"/>
        </w:rPr>
      </w:pPr>
      <w:r>
        <w:rPr>
          <w:rFonts w:hint="eastAsia" w:hAnsi="宋体"/>
          <w:bCs/>
          <w:color w:val="auto"/>
          <w:kern w:val="2"/>
          <w:sz w:val="21"/>
          <w:szCs w:val="21"/>
          <w:highlight w:val="none"/>
        </w:rPr>
        <w:t>37.2</w:t>
      </w:r>
      <w:r>
        <w:rPr>
          <w:rFonts w:hint="eastAsia" w:hAnsi="宋体"/>
          <w:bCs/>
          <w:color w:val="auto"/>
          <w:kern w:val="2"/>
          <w:sz w:val="21"/>
          <w:szCs w:val="21"/>
          <w:highlight w:val="none"/>
          <w:lang w:val="zh-CN"/>
        </w:rPr>
        <w:t xml:space="preserve">  履约保函应是合法经营的金融机构或担保机构出具的保函，非</w:t>
      </w:r>
      <w:r>
        <w:rPr>
          <w:rFonts w:hint="eastAsia" w:hAnsi="宋体"/>
          <w:bCs/>
          <w:color w:val="auto"/>
          <w:kern w:val="2"/>
          <w:sz w:val="21"/>
          <w:szCs w:val="21"/>
          <w:highlight w:val="none"/>
        </w:rPr>
        <w:t>东莞</w:t>
      </w:r>
      <w:r>
        <w:rPr>
          <w:rFonts w:hint="eastAsia" w:hAnsi="宋体"/>
          <w:bCs/>
          <w:color w:val="auto"/>
          <w:kern w:val="2"/>
          <w:sz w:val="21"/>
          <w:szCs w:val="21"/>
          <w:highlight w:val="none"/>
          <w:lang w:val="zh-CN"/>
        </w:rPr>
        <w:t>市范围内金融机构或担保机构出具的履约保函必须附上当地公证部门出具的公证文件。履约保函的内容，应符合磋商文件、投标响应文件和采购合同的要求。履约保函应在采购合同有效期满后</w:t>
      </w:r>
      <w:r>
        <w:rPr>
          <w:rFonts w:hAnsi="宋体"/>
          <w:bCs/>
          <w:color w:val="auto"/>
          <w:kern w:val="2"/>
          <w:sz w:val="21"/>
          <w:szCs w:val="21"/>
          <w:highlight w:val="none"/>
          <w:lang w:val="zh-CN"/>
        </w:rPr>
        <w:t>28</w:t>
      </w:r>
      <w:r>
        <w:rPr>
          <w:rFonts w:hint="eastAsia" w:hAnsi="宋体"/>
          <w:bCs/>
          <w:color w:val="auto"/>
          <w:kern w:val="2"/>
          <w:sz w:val="21"/>
          <w:szCs w:val="21"/>
          <w:highlight w:val="none"/>
          <w:lang w:val="zh-CN"/>
        </w:rPr>
        <w:t>天内继续有效。</w:t>
      </w:r>
    </w:p>
    <w:p>
      <w:pPr>
        <w:spacing w:line="360" w:lineRule="auto"/>
        <w:ind w:left="636" w:hanging="636" w:hangingChars="303"/>
        <w:rPr>
          <w:rFonts w:hAnsi="宋体"/>
          <w:bCs/>
          <w:color w:val="auto"/>
          <w:kern w:val="2"/>
          <w:sz w:val="21"/>
          <w:szCs w:val="21"/>
          <w:highlight w:val="none"/>
          <w:lang w:val="zh-CN"/>
        </w:rPr>
      </w:pPr>
      <w:r>
        <w:rPr>
          <w:rFonts w:hint="eastAsia" w:hAnsi="宋体"/>
          <w:bCs/>
          <w:color w:val="auto"/>
          <w:kern w:val="2"/>
          <w:sz w:val="21"/>
          <w:szCs w:val="21"/>
          <w:highlight w:val="none"/>
        </w:rPr>
        <w:t>37.</w:t>
      </w:r>
      <w:r>
        <w:rPr>
          <w:rFonts w:hAnsi="宋体"/>
          <w:bCs/>
          <w:color w:val="auto"/>
          <w:kern w:val="2"/>
          <w:sz w:val="21"/>
          <w:szCs w:val="21"/>
          <w:highlight w:val="none"/>
        </w:rPr>
        <w:t xml:space="preserve">3  </w:t>
      </w:r>
      <w:r>
        <w:rPr>
          <w:rFonts w:hAnsi="宋体"/>
          <w:bCs/>
          <w:color w:val="auto"/>
          <w:kern w:val="2"/>
          <w:sz w:val="21"/>
          <w:szCs w:val="21"/>
          <w:highlight w:val="none"/>
          <w:lang w:val="zh-CN"/>
        </w:rPr>
        <w:t>若</w:t>
      </w:r>
      <w:r>
        <w:rPr>
          <w:rFonts w:hint="eastAsia" w:hAnsi="宋体"/>
          <w:bCs/>
          <w:color w:val="auto"/>
          <w:kern w:val="2"/>
          <w:sz w:val="21"/>
          <w:szCs w:val="21"/>
          <w:highlight w:val="none"/>
          <w:lang w:val="zh-CN"/>
        </w:rPr>
        <w:t>成交供应商</w:t>
      </w:r>
      <w:r>
        <w:rPr>
          <w:rFonts w:hAnsi="宋体"/>
          <w:bCs/>
          <w:color w:val="auto"/>
          <w:kern w:val="2"/>
          <w:sz w:val="21"/>
          <w:szCs w:val="21"/>
          <w:highlight w:val="none"/>
          <w:lang w:val="zh-CN"/>
        </w:rPr>
        <w:t>不按</w:t>
      </w:r>
      <w:r>
        <w:rPr>
          <w:rFonts w:hint="eastAsia" w:hAnsi="宋体"/>
          <w:bCs/>
          <w:color w:val="auto"/>
          <w:kern w:val="2"/>
          <w:sz w:val="21"/>
          <w:szCs w:val="21"/>
          <w:highlight w:val="none"/>
          <w:lang w:val="zh-CN"/>
        </w:rPr>
        <w:t>规定提交履约保证金</w:t>
      </w:r>
      <w:r>
        <w:rPr>
          <w:rFonts w:hAnsi="宋体"/>
          <w:bCs/>
          <w:color w:val="auto"/>
          <w:kern w:val="2"/>
          <w:sz w:val="21"/>
          <w:szCs w:val="21"/>
          <w:highlight w:val="none"/>
          <w:lang w:val="zh-CN"/>
        </w:rPr>
        <w:t>，</w:t>
      </w:r>
      <w:r>
        <w:rPr>
          <w:rFonts w:hint="eastAsia" w:hAnsi="宋体"/>
          <w:bCs/>
          <w:color w:val="auto"/>
          <w:kern w:val="2"/>
          <w:sz w:val="21"/>
          <w:szCs w:val="21"/>
          <w:highlight w:val="none"/>
          <w:lang w:val="zh-CN"/>
        </w:rPr>
        <w:t>采购人</w:t>
      </w:r>
      <w:r>
        <w:rPr>
          <w:rFonts w:hAnsi="宋体"/>
          <w:bCs/>
          <w:color w:val="auto"/>
          <w:kern w:val="2"/>
          <w:sz w:val="21"/>
          <w:szCs w:val="21"/>
          <w:highlight w:val="none"/>
          <w:lang w:val="zh-CN"/>
        </w:rPr>
        <w:t>将有充分的理由解除合同，给</w:t>
      </w:r>
      <w:r>
        <w:rPr>
          <w:rFonts w:hint="eastAsia" w:hAnsi="宋体"/>
          <w:bCs/>
          <w:color w:val="auto"/>
          <w:kern w:val="2"/>
          <w:sz w:val="21"/>
          <w:szCs w:val="21"/>
          <w:highlight w:val="none"/>
          <w:lang w:val="zh-CN"/>
        </w:rPr>
        <w:t>采购人</w:t>
      </w:r>
      <w:r>
        <w:rPr>
          <w:rFonts w:hAnsi="宋体"/>
          <w:bCs/>
          <w:color w:val="auto"/>
          <w:kern w:val="2"/>
          <w:sz w:val="21"/>
          <w:szCs w:val="21"/>
          <w:highlight w:val="none"/>
          <w:lang w:val="zh-CN"/>
        </w:rPr>
        <w:t>造成的损失超过投标保证金数额的，还应当对超过部分予以赔偿。</w:t>
      </w:r>
    </w:p>
    <w:p>
      <w:pPr>
        <w:spacing w:line="360" w:lineRule="auto"/>
        <w:ind w:left="636" w:hanging="636" w:hangingChars="303"/>
        <w:rPr>
          <w:rFonts w:hAnsi="宋体"/>
          <w:bCs/>
          <w:color w:val="auto"/>
          <w:kern w:val="2"/>
          <w:sz w:val="21"/>
          <w:szCs w:val="21"/>
          <w:highlight w:val="none"/>
        </w:rPr>
      </w:pPr>
      <w:r>
        <w:rPr>
          <w:rFonts w:hint="eastAsia" w:hAnsi="宋体"/>
          <w:bCs/>
          <w:color w:val="auto"/>
          <w:kern w:val="2"/>
          <w:sz w:val="21"/>
          <w:szCs w:val="21"/>
          <w:highlight w:val="none"/>
        </w:rPr>
        <w:t>37.</w:t>
      </w:r>
      <w:r>
        <w:rPr>
          <w:rFonts w:hAnsi="宋体"/>
          <w:bCs/>
          <w:color w:val="auto"/>
          <w:kern w:val="2"/>
          <w:sz w:val="21"/>
          <w:szCs w:val="21"/>
          <w:highlight w:val="none"/>
        </w:rPr>
        <w:t>4</w:t>
      </w:r>
      <w:r>
        <w:rPr>
          <w:rFonts w:hint="eastAsia" w:hAnsi="宋体"/>
          <w:bCs/>
          <w:color w:val="auto"/>
          <w:kern w:val="2"/>
          <w:sz w:val="21"/>
          <w:szCs w:val="21"/>
          <w:highlight w:val="none"/>
        </w:rPr>
        <w:t xml:space="preserve"> </w:t>
      </w:r>
      <w:r>
        <w:rPr>
          <w:rFonts w:hAnsi="宋体"/>
          <w:bCs/>
          <w:color w:val="auto"/>
          <w:kern w:val="2"/>
          <w:sz w:val="21"/>
          <w:szCs w:val="21"/>
          <w:highlight w:val="none"/>
        </w:rPr>
        <w:t xml:space="preserve"> </w:t>
      </w:r>
      <w:r>
        <w:rPr>
          <w:rFonts w:hint="eastAsia" w:hAnsi="宋体"/>
          <w:bCs/>
          <w:color w:val="auto"/>
          <w:kern w:val="2"/>
          <w:sz w:val="21"/>
          <w:szCs w:val="21"/>
          <w:highlight w:val="none"/>
        </w:rPr>
        <w:t>在整个项目验收合格后，成交供应商向采购人提交退回履约保证金的申请，采购人办理履约保证金退还手续，将履约保证金退回原成交供应商的汇入帐户。</w:t>
      </w:r>
    </w:p>
    <w:p>
      <w:pPr>
        <w:tabs>
          <w:tab w:val="left" w:pos="567"/>
        </w:tabs>
        <w:spacing w:line="360" w:lineRule="auto"/>
        <w:ind w:left="567" w:hanging="567"/>
        <w:jc w:val="both"/>
        <w:rPr>
          <w:rFonts w:hAnsi="宋体"/>
          <w:b/>
          <w:color w:val="auto"/>
          <w:kern w:val="2"/>
          <w:sz w:val="21"/>
          <w:szCs w:val="21"/>
          <w:highlight w:val="none"/>
          <w:lang w:val="zh-CN"/>
        </w:rPr>
      </w:pPr>
      <w:r>
        <w:rPr>
          <w:rFonts w:hAnsi="宋体"/>
          <w:b/>
          <w:color w:val="auto"/>
          <w:kern w:val="2"/>
          <w:sz w:val="21"/>
          <w:szCs w:val="21"/>
          <w:highlight w:val="none"/>
          <w:lang w:val="zh-CN"/>
        </w:rPr>
        <w:t>3</w:t>
      </w:r>
      <w:r>
        <w:rPr>
          <w:rFonts w:hint="eastAsia" w:hAnsi="宋体"/>
          <w:b/>
          <w:color w:val="auto"/>
          <w:kern w:val="2"/>
          <w:sz w:val="21"/>
          <w:szCs w:val="21"/>
          <w:highlight w:val="none"/>
          <w:lang w:val="zh-CN"/>
        </w:rPr>
        <w:t>8</w:t>
      </w:r>
      <w:r>
        <w:rPr>
          <w:rFonts w:hAnsi="宋体"/>
          <w:b/>
          <w:color w:val="auto"/>
          <w:kern w:val="2"/>
          <w:sz w:val="21"/>
          <w:szCs w:val="21"/>
          <w:highlight w:val="none"/>
          <w:lang w:val="zh-CN"/>
        </w:rPr>
        <w:tab/>
      </w:r>
      <w:r>
        <w:rPr>
          <w:rFonts w:hint="eastAsia" w:hAnsi="宋体"/>
          <w:b/>
          <w:color w:val="auto"/>
          <w:kern w:val="2"/>
          <w:sz w:val="21"/>
          <w:szCs w:val="21"/>
          <w:highlight w:val="none"/>
          <w:lang w:val="zh-CN"/>
        </w:rPr>
        <w:t>招标代理服务费</w:t>
      </w:r>
    </w:p>
    <w:p>
      <w:pPr>
        <w:tabs>
          <w:tab w:val="left" w:pos="540"/>
        </w:tabs>
        <w:spacing w:line="360" w:lineRule="auto"/>
        <w:ind w:left="540" w:right="18" w:hanging="540"/>
        <w:jc w:val="both"/>
        <w:rPr>
          <w:rFonts w:hAnsi="宋体"/>
          <w:color w:val="auto"/>
          <w:kern w:val="2"/>
          <w:sz w:val="21"/>
          <w:szCs w:val="21"/>
          <w:highlight w:val="none"/>
          <w:lang w:val="zh-CN"/>
        </w:rPr>
      </w:pPr>
      <w:bookmarkStart w:id="76" w:name="_Hlk521417822"/>
      <w:r>
        <w:rPr>
          <w:rFonts w:hAnsi="宋体"/>
          <w:color w:val="auto"/>
          <w:kern w:val="2"/>
          <w:sz w:val="21"/>
          <w:szCs w:val="21"/>
          <w:highlight w:val="none"/>
          <w:lang w:val="zh-CN"/>
        </w:rPr>
        <w:t>3</w:t>
      </w:r>
      <w:r>
        <w:rPr>
          <w:rFonts w:hint="eastAsia" w:hAnsi="宋体"/>
          <w:color w:val="auto"/>
          <w:kern w:val="2"/>
          <w:sz w:val="21"/>
          <w:szCs w:val="21"/>
          <w:highlight w:val="none"/>
          <w:lang w:val="zh-CN"/>
        </w:rPr>
        <w:t>8</w:t>
      </w:r>
      <w:r>
        <w:rPr>
          <w:rFonts w:hAnsi="宋体"/>
          <w:color w:val="auto"/>
          <w:kern w:val="2"/>
          <w:sz w:val="21"/>
          <w:szCs w:val="21"/>
          <w:highlight w:val="none"/>
          <w:lang w:val="zh-CN"/>
        </w:rPr>
        <w:t>.1</w:t>
      </w:r>
      <w:r>
        <w:rPr>
          <w:rFonts w:hAnsi="宋体"/>
          <w:color w:val="auto"/>
          <w:kern w:val="2"/>
          <w:sz w:val="21"/>
          <w:szCs w:val="21"/>
          <w:highlight w:val="none"/>
          <w:lang w:val="zh-CN"/>
        </w:rPr>
        <w:tab/>
      </w:r>
      <w:r>
        <w:rPr>
          <w:rFonts w:hint="eastAsia" w:hAnsi="宋体"/>
          <w:color w:val="auto"/>
          <w:kern w:val="2"/>
          <w:sz w:val="21"/>
          <w:szCs w:val="21"/>
          <w:highlight w:val="none"/>
          <w:lang w:val="zh-CN"/>
        </w:rPr>
        <w:t>招标代理服务费按</w:t>
      </w:r>
      <w:r>
        <w:rPr>
          <w:rFonts w:hint="eastAsia" w:hAnsi="宋体"/>
          <w:color w:val="auto"/>
          <w:sz w:val="21"/>
          <w:szCs w:val="21"/>
          <w:highlight w:val="none"/>
        </w:rPr>
        <w:t>《供应商须知前附表》规定执行</w:t>
      </w:r>
      <w:r>
        <w:rPr>
          <w:rFonts w:hint="eastAsia" w:hAnsi="宋体"/>
          <w:color w:val="auto"/>
          <w:kern w:val="2"/>
          <w:sz w:val="21"/>
          <w:szCs w:val="21"/>
          <w:highlight w:val="none"/>
          <w:lang w:val="zh-CN"/>
        </w:rPr>
        <w:t>。</w:t>
      </w:r>
    </w:p>
    <w:p>
      <w:pPr>
        <w:tabs>
          <w:tab w:val="left" w:pos="540"/>
        </w:tabs>
        <w:spacing w:line="360" w:lineRule="auto"/>
        <w:ind w:left="540" w:right="18" w:hanging="540"/>
        <w:jc w:val="both"/>
        <w:rPr>
          <w:rFonts w:hAnsi="宋体"/>
          <w:color w:val="auto"/>
          <w:kern w:val="2"/>
          <w:sz w:val="21"/>
          <w:szCs w:val="21"/>
          <w:highlight w:val="none"/>
          <w:lang w:val="zh-CN"/>
        </w:rPr>
      </w:pPr>
      <w:r>
        <w:rPr>
          <w:rFonts w:hAnsi="宋体"/>
          <w:color w:val="auto"/>
          <w:kern w:val="2"/>
          <w:sz w:val="21"/>
          <w:szCs w:val="21"/>
          <w:highlight w:val="none"/>
          <w:lang w:val="zh-CN"/>
        </w:rPr>
        <w:t>3</w:t>
      </w:r>
      <w:r>
        <w:rPr>
          <w:rFonts w:hint="eastAsia" w:hAnsi="宋体"/>
          <w:color w:val="auto"/>
          <w:kern w:val="2"/>
          <w:sz w:val="21"/>
          <w:szCs w:val="21"/>
          <w:highlight w:val="none"/>
          <w:lang w:val="zh-CN"/>
        </w:rPr>
        <w:t>8</w:t>
      </w:r>
      <w:r>
        <w:rPr>
          <w:rFonts w:hAnsi="宋体"/>
          <w:color w:val="auto"/>
          <w:kern w:val="2"/>
          <w:sz w:val="21"/>
          <w:szCs w:val="21"/>
          <w:highlight w:val="none"/>
          <w:lang w:val="zh-CN"/>
        </w:rPr>
        <w:t>.</w:t>
      </w:r>
      <w:r>
        <w:rPr>
          <w:rFonts w:hint="eastAsia" w:hAnsi="宋体"/>
          <w:color w:val="auto"/>
          <w:kern w:val="2"/>
          <w:sz w:val="21"/>
          <w:szCs w:val="21"/>
          <w:highlight w:val="none"/>
          <w:lang w:val="zh-CN"/>
        </w:rPr>
        <w:t>2</w:t>
      </w:r>
      <w:r>
        <w:rPr>
          <w:rFonts w:hAnsi="宋体"/>
          <w:color w:val="auto"/>
          <w:kern w:val="2"/>
          <w:sz w:val="21"/>
          <w:szCs w:val="21"/>
          <w:highlight w:val="none"/>
          <w:lang w:val="zh-CN"/>
        </w:rPr>
        <w:tab/>
      </w:r>
      <w:r>
        <w:rPr>
          <w:rFonts w:hint="eastAsia" w:hAnsi="宋体"/>
          <w:color w:val="auto"/>
          <w:sz w:val="21"/>
          <w:szCs w:val="21"/>
          <w:highlight w:val="none"/>
        </w:rPr>
        <w:t>成交供应商在收取《成交通知书》前应向采购代理机构缴纳</w:t>
      </w:r>
      <w:r>
        <w:rPr>
          <w:rFonts w:hint="eastAsia" w:hAnsi="宋体"/>
          <w:color w:val="auto"/>
          <w:kern w:val="2"/>
          <w:sz w:val="21"/>
          <w:szCs w:val="21"/>
          <w:highlight w:val="none"/>
          <w:lang w:val="zh-CN"/>
        </w:rPr>
        <w:t>招标代理服务费</w:t>
      </w:r>
      <w:r>
        <w:rPr>
          <w:rFonts w:hint="eastAsia" w:hAnsi="宋体"/>
          <w:color w:val="auto"/>
          <w:sz w:val="21"/>
          <w:szCs w:val="21"/>
          <w:highlight w:val="none"/>
        </w:rPr>
        <w:t>。</w:t>
      </w:r>
      <w:r>
        <w:rPr>
          <w:rFonts w:hint="eastAsia" w:hAnsi="宋体"/>
          <w:color w:val="auto"/>
          <w:kern w:val="2"/>
          <w:sz w:val="21"/>
          <w:szCs w:val="21"/>
          <w:highlight w:val="none"/>
          <w:lang w:val="zh-CN"/>
        </w:rPr>
        <w:t>招标代理服务费以银行付款的形式用人民币一次性支付，收款银行帐号以采购代理机构发出的领取成交通知书通知中指定的银行帐号为准。</w:t>
      </w:r>
    </w:p>
    <w:p>
      <w:pPr>
        <w:spacing w:line="360" w:lineRule="auto"/>
        <w:ind w:left="540" w:right="18" w:hanging="540"/>
        <w:jc w:val="both"/>
        <w:rPr>
          <w:rFonts w:hAnsi="宋体"/>
          <w:color w:val="auto"/>
          <w:kern w:val="2"/>
          <w:sz w:val="21"/>
          <w:szCs w:val="21"/>
          <w:highlight w:val="none"/>
          <w:lang w:val="zh-CN"/>
        </w:rPr>
      </w:pPr>
      <w:r>
        <w:rPr>
          <w:rFonts w:hAnsi="宋体"/>
          <w:color w:val="auto"/>
          <w:kern w:val="2"/>
          <w:sz w:val="21"/>
          <w:szCs w:val="21"/>
          <w:highlight w:val="none"/>
          <w:lang w:val="zh-CN"/>
        </w:rPr>
        <w:t>3</w:t>
      </w:r>
      <w:r>
        <w:rPr>
          <w:rFonts w:hint="eastAsia" w:hAnsi="宋体"/>
          <w:color w:val="auto"/>
          <w:kern w:val="2"/>
          <w:sz w:val="21"/>
          <w:szCs w:val="21"/>
          <w:highlight w:val="none"/>
          <w:lang w:val="zh-CN"/>
        </w:rPr>
        <w:t>8</w:t>
      </w:r>
      <w:r>
        <w:rPr>
          <w:rFonts w:hAnsi="宋体"/>
          <w:color w:val="auto"/>
          <w:kern w:val="2"/>
          <w:sz w:val="21"/>
          <w:szCs w:val="21"/>
          <w:highlight w:val="none"/>
          <w:lang w:val="zh-CN"/>
        </w:rPr>
        <w:t>.</w:t>
      </w:r>
      <w:r>
        <w:rPr>
          <w:rFonts w:hint="eastAsia" w:hAnsi="宋体"/>
          <w:color w:val="auto"/>
          <w:kern w:val="2"/>
          <w:sz w:val="21"/>
          <w:szCs w:val="21"/>
          <w:highlight w:val="none"/>
          <w:lang w:val="zh-CN"/>
        </w:rPr>
        <w:t>3</w:t>
      </w:r>
      <w:r>
        <w:rPr>
          <w:rFonts w:hAnsi="宋体"/>
          <w:color w:val="auto"/>
          <w:kern w:val="2"/>
          <w:sz w:val="21"/>
          <w:szCs w:val="21"/>
          <w:highlight w:val="none"/>
          <w:lang w:val="zh-CN"/>
        </w:rPr>
        <w:tab/>
      </w:r>
      <w:r>
        <w:rPr>
          <w:rFonts w:hint="eastAsia" w:hAnsi="宋体"/>
          <w:color w:val="auto"/>
          <w:kern w:val="2"/>
          <w:sz w:val="21"/>
          <w:szCs w:val="21"/>
          <w:highlight w:val="none"/>
          <w:lang w:val="zh-CN"/>
        </w:rPr>
        <w:t>招标代理服务费不在投标报价中单列。</w:t>
      </w:r>
    </w:p>
    <w:bookmarkEnd w:id="76"/>
    <w:p>
      <w:pPr>
        <w:tabs>
          <w:tab w:val="left" w:pos="567"/>
        </w:tabs>
        <w:spacing w:line="360" w:lineRule="auto"/>
        <w:ind w:left="567" w:hanging="567"/>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39   发票</w:t>
      </w:r>
    </w:p>
    <w:p>
      <w:pPr>
        <w:spacing w:line="360" w:lineRule="auto"/>
        <w:ind w:left="539" w:right="17" w:hanging="539"/>
        <w:jc w:val="both"/>
        <w:rPr>
          <w:rFonts w:hAnsi="宋体"/>
          <w:color w:val="auto"/>
          <w:kern w:val="2"/>
          <w:sz w:val="21"/>
          <w:szCs w:val="21"/>
          <w:highlight w:val="none"/>
          <w:lang w:val="zh-CN"/>
        </w:rPr>
      </w:pPr>
      <w:r>
        <w:rPr>
          <w:rFonts w:hint="eastAsia" w:hAnsi="宋体"/>
          <w:color w:val="auto"/>
          <w:kern w:val="2"/>
          <w:sz w:val="21"/>
          <w:szCs w:val="21"/>
          <w:highlight w:val="none"/>
          <w:lang w:val="zh-CN"/>
        </w:rPr>
        <w:t>39.1 该项目获得成交的成交供应商在执行合同过程中，向采购人出具的发票必须是由成交供应商开具，不得以其他单位或个人名义出具。</w:t>
      </w:r>
    </w:p>
    <w:p>
      <w:pPr>
        <w:tabs>
          <w:tab w:val="left" w:pos="567"/>
        </w:tabs>
        <w:spacing w:line="360" w:lineRule="auto"/>
        <w:ind w:left="567" w:hanging="567"/>
        <w:jc w:val="both"/>
        <w:rPr>
          <w:rFonts w:hAnsi="宋体"/>
          <w:b/>
          <w:color w:val="auto"/>
          <w:kern w:val="2"/>
          <w:sz w:val="21"/>
          <w:szCs w:val="21"/>
          <w:highlight w:val="none"/>
          <w:lang w:val="zh-CN"/>
        </w:rPr>
      </w:pPr>
      <w:bookmarkStart w:id="77" w:name="_Toc396137239"/>
      <w:r>
        <w:rPr>
          <w:rFonts w:hint="eastAsia" w:hAnsi="宋体"/>
          <w:b/>
          <w:color w:val="auto"/>
          <w:kern w:val="2"/>
          <w:sz w:val="21"/>
          <w:szCs w:val="21"/>
          <w:highlight w:val="none"/>
          <w:lang w:val="zh-CN"/>
        </w:rPr>
        <w:t>40   信用担保融资</w:t>
      </w:r>
    </w:p>
    <w:p>
      <w:pPr>
        <w:spacing w:line="360" w:lineRule="auto"/>
        <w:ind w:left="539" w:right="17" w:hanging="539"/>
        <w:jc w:val="both"/>
        <w:rPr>
          <w:rFonts w:hAnsi="宋体"/>
          <w:color w:val="auto"/>
          <w:sz w:val="21"/>
          <w:szCs w:val="21"/>
          <w:highlight w:val="none"/>
          <w:lang w:val="zh-CN"/>
        </w:rPr>
      </w:pPr>
      <w:r>
        <w:rPr>
          <w:rFonts w:hint="eastAsia" w:hAnsi="宋体"/>
          <w:color w:val="auto"/>
          <w:sz w:val="21"/>
          <w:szCs w:val="21"/>
          <w:highlight w:val="none"/>
          <w:lang w:val="zh-CN"/>
        </w:rPr>
        <w:t xml:space="preserve">40.1 </w:t>
      </w:r>
      <w:r>
        <w:rPr>
          <w:rFonts w:hAnsi="宋体"/>
          <w:color w:val="auto"/>
          <w:sz w:val="21"/>
          <w:szCs w:val="21"/>
          <w:highlight w:val="none"/>
          <w:lang w:val="zh-CN"/>
        </w:rPr>
        <w:t>政府采购信用担保，是将信用担保作为政策工具引入政府采购领域，由专业担保机构或商业银行为</w:t>
      </w:r>
      <w:r>
        <w:rPr>
          <w:rFonts w:hint="eastAsia" w:hAnsi="宋体"/>
          <w:color w:val="auto"/>
          <w:sz w:val="21"/>
          <w:szCs w:val="21"/>
          <w:highlight w:val="none"/>
          <w:lang w:val="zh-CN"/>
        </w:rPr>
        <w:t>供应商</w:t>
      </w:r>
      <w:r>
        <w:rPr>
          <w:rFonts w:hAnsi="宋体"/>
          <w:color w:val="auto"/>
          <w:sz w:val="21"/>
          <w:szCs w:val="21"/>
          <w:highlight w:val="none"/>
          <w:lang w:val="zh-CN"/>
        </w:rPr>
        <w:t>向采购人、代理机构、金融机构提供的保证，主要包括投标担保、履约担保、融资担保三种形式。</w:t>
      </w:r>
    </w:p>
    <w:p>
      <w:pPr>
        <w:spacing w:line="360" w:lineRule="auto"/>
        <w:ind w:left="539" w:right="17" w:hanging="539"/>
        <w:jc w:val="both"/>
        <w:rPr>
          <w:rFonts w:hAnsi="宋体"/>
          <w:color w:val="auto"/>
          <w:sz w:val="21"/>
          <w:szCs w:val="21"/>
          <w:highlight w:val="none"/>
          <w:lang w:val="zh-CN"/>
        </w:rPr>
      </w:pPr>
      <w:r>
        <w:rPr>
          <w:rFonts w:hint="eastAsia" w:hAnsi="宋体"/>
          <w:color w:val="auto"/>
          <w:sz w:val="21"/>
          <w:szCs w:val="21"/>
          <w:highlight w:val="none"/>
          <w:lang w:val="zh-CN"/>
        </w:rPr>
        <w:t xml:space="preserve">40.2 </w:t>
      </w:r>
      <w:r>
        <w:rPr>
          <w:rFonts w:hAnsi="宋体"/>
          <w:color w:val="auto"/>
          <w:sz w:val="21"/>
          <w:szCs w:val="21"/>
          <w:highlight w:val="none"/>
          <w:lang w:val="zh-CN"/>
        </w:rPr>
        <w:t>政府采购信用融资，是指</w:t>
      </w:r>
      <w:r>
        <w:rPr>
          <w:rFonts w:hint="eastAsia" w:hAnsi="宋体"/>
          <w:color w:val="auto"/>
          <w:sz w:val="21"/>
          <w:szCs w:val="21"/>
          <w:highlight w:val="none"/>
          <w:lang w:val="zh-CN"/>
        </w:rPr>
        <w:t>成交供应商</w:t>
      </w:r>
      <w:r>
        <w:rPr>
          <w:rFonts w:hAnsi="宋体"/>
          <w:color w:val="auto"/>
          <w:sz w:val="21"/>
          <w:szCs w:val="21"/>
          <w:highlight w:val="none"/>
          <w:lang w:val="zh-CN"/>
        </w:rPr>
        <w:t>凭借政府采购</w:t>
      </w:r>
      <w:r>
        <w:rPr>
          <w:rFonts w:hint="eastAsia" w:hAnsi="宋体"/>
          <w:color w:val="auto"/>
          <w:sz w:val="21"/>
          <w:szCs w:val="21"/>
          <w:highlight w:val="none"/>
          <w:lang w:val="zh-CN"/>
        </w:rPr>
        <w:t>成交</w:t>
      </w:r>
      <w:r>
        <w:rPr>
          <w:rFonts w:hAnsi="宋体"/>
          <w:color w:val="auto"/>
          <w:sz w:val="21"/>
          <w:szCs w:val="21"/>
          <w:highlight w:val="none"/>
          <w:lang w:val="zh-CN"/>
        </w:rPr>
        <w:t>通知书或政府采购合同,直接到相应商业银行进行贷款融资,由商业银行提供建立快捷方便的融资审批绿色通道、降低中小企业融资准入门槛等服务，方便企业进行贷款。</w:t>
      </w:r>
    </w:p>
    <w:bookmarkEnd w:id="77"/>
    <w:p>
      <w:pPr>
        <w:pStyle w:val="4"/>
        <w:spacing w:line="360" w:lineRule="auto"/>
        <w:rPr>
          <w:rFonts w:hAnsi="宋体"/>
          <w:b/>
          <w:bCs/>
          <w:color w:val="auto"/>
          <w:kern w:val="44"/>
          <w:sz w:val="21"/>
          <w:szCs w:val="21"/>
          <w:highlight w:val="none"/>
          <w:lang w:val="zh-CN"/>
        </w:rPr>
      </w:pPr>
      <w:bookmarkStart w:id="78" w:name="_Toc505678796"/>
      <w:bookmarkStart w:id="79" w:name="_Toc322"/>
      <w:r>
        <w:rPr>
          <w:rFonts w:hint="eastAsia" w:hAnsi="宋体"/>
          <w:b/>
          <w:bCs/>
          <w:color w:val="auto"/>
          <w:kern w:val="44"/>
          <w:sz w:val="21"/>
          <w:szCs w:val="21"/>
          <w:highlight w:val="none"/>
          <w:lang w:val="zh-CN"/>
        </w:rPr>
        <w:t>（七）询问、质疑和投诉</w:t>
      </w:r>
      <w:bookmarkEnd w:id="78"/>
      <w:bookmarkEnd w:id="79"/>
    </w:p>
    <w:p>
      <w:pPr>
        <w:tabs>
          <w:tab w:val="left" w:pos="567"/>
        </w:tabs>
        <w:spacing w:line="360" w:lineRule="auto"/>
        <w:ind w:left="567" w:hanging="567"/>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41   询问</w:t>
      </w:r>
    </w:p>
    <w:p>
      <w:pPr>
        <w:spacing w:line="360" w:lineRule="auto"/>
        <w:ind w:left="539" w:right="17" w:hanging="539"/>
        <w:jc w:val="both"/>
        <w:rPr>
          <w:rFonts w:hAnsi="宋体"/>
          <w:color w:val="auto"/>
          <w:sz w:val="21"/>
          <w:szCs w:val="21"/>
          <w:highlight w:val="none"/>
        </w:rPr>
      </w:pPr>
      <w:r>
        <w:rPr>
          <w:rFonts w:hint="eastAsia" w:hAnsi="宋体"/>
          <w:color w:val="auto"/>
          <w:sz w:val="21"/>
          <w:szCs w:val="21"/>
          <w:highlight w:val="none"/>
        </w:rPr>
        <w:t>41.1 供应商对政府采购活动事项（磋商文件、采购过程和成交结果）有疑问的，可以向采购人或采购代理机构提出询问，采购人或采购代理机构将及时作出答复，但答复的内容不涉及商业秘密。询问可以口头方式提出，也可以书面方式提出，书面方式包括但不限于传真、信函、电子邮件。联系方式见《磋商邀请函》中“采购人、采购代理机构的名称、地址和联系方式”。</w:t>
      </w:r>
    </w:p>
    <w:p>
      <w:pPr>
        <w:tabs>
          <w:tab w:val="left" w:pos="567"/>
        </w:tabs>
        <w:spacing w:line="360" w:lineRule="auto"/>
        <w:ind w:left="567" w:hanging="567"/>
        <w:jc w:val="both"/>
        <w:rPr>
          <w:rFonts w:hAnsi="宋体"/>
          <w:b/>
          <w:color w:val="auto"/>
          <w:kern w:val="2"/>
          <w:sz w:val="21"/>
          <w:szCs w:val="21"/>
          <w:highlight w:val="none"/>
          <w:lang w:val="zh-CN"/>
        </w:rPr>
      </w:pPr>
      <w:r>
        <w:rPr>
          <w:rFonts w:hint="eastAsia" w:hAnsi="宋体"/>
          <w:b/>
          <w:color w:val="auto"/>
          <w:kern w:val="2"/>
          <w:sz w:val="21"/>
          <w:szCs w:val="21"/>
          <w:highlight w:val="none"/>
          <w:lang w:val="zh-CN"/>
        </w:rPr>
        <w:t>42   质疑</w:t>
      </w:r>
    </w:p>
    <w:p>
      <w:pPr>
        <w:spacing w:line="360" w:lineRule="auto"/>
        <w:ind w:left="539" w:right="17" w:hanging="539"/>
        <w:jc w:val="both"/>
        <w:rPr>
          <w:rFonts w:hAnsi="宋体"/>
          <w:color w:val="auto"/>
          <w:sz w:val="21"/>
          <w:szCs w:val="21"/>
          <w:highlight w:val="none"/>
        </w:rPr>
      </w:pPr>
      <w:r>
        <w:rPr>
          <w:rFonts w:hint="eastAsia" w:hAnsi="宋体"/>
          <w:color w:val="auto"/>
          <w:sz w:val="21"/>
          <w:szCs w:val="21"/>
          <w:highlight w:val="none"/>
        </w:rPr>
        <w:t>42.1 供应商认为磋商文件、采购过程和成交结果使自己的权益受到损害的，可以在知道或者应知其权益受到损害之日起七个工作日内，以书面原件形式向采购人或采购代理机构一次性提出针对同一采购程序环节的质疑，逾期质疑无效。供应商应知其权益受到损害之日是指：</w:t>
      </w:r>
    </w:p>
    <w:p>
      <w:pPr>
        <w:tabs>
          <w:tab w:val="left" w:pos="567"/>
        </w:tabs>
        <w:spacing w:line="360" w:lineRule="auto"/>
        <w:ind w:left="480" w:left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(1)对磋商文件提出质疑的，为获取磋商文件之日或者磋商文件公告期限届满之日；</w:t>
      </w:r>
    </w:p>
    <w:p>
      <w:pPr>
        <w:tabs>
          <w:tab w:val="left" w:pos="567"/>
        </w:tabs>
        <w:spacing w:line="360" w:lineRule="auto"/>
        <w:ind w:left="480" w:left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(2)对采购过程提出质疑的，为各采购程序环节结束之日；</w:t>
      </w:r>
    </w:p>
    <w:p>
      <w:pPr>
        <w:tabs>
          <w:tab w:val="left" w:pos="567"/>
        </w:tabs>
        <w:spacing w:line="360" w:lineRule="auto"/>
        <w:ind w:left="480" w:left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(3)对成交结果提出质疑的，为成交结果公告期限届满之日。</w:t>
      </w:r>
    </w:p>
    <w:p>
      <w:pPr>
        <w:spacing w:line="360" w:lineRule="auto"/>
        <w:ind w:left="539" w:right="17" w:hanging="539"/>
        <w:jc w:val="both"/>
        <w:rPr>
          <w:rFonts w:hAnsi="宋体"/>
          <w:color w:val="auto"/>
          <w:sz w:val="21"/>
          <w:szCs w:val="21"/>
          <w:highlight w:val="none"/>
        </w:rPr>
      </w:pPr>
      <w:r>
        <w:rPr>
          <w:rFonts w:hint="eastAsia" w:hAnsi="宋体"/>
          <w:color w:val="auto"/>
          <w:sz w:val="21"/>
          <w:szCs w:val="21"/>
          <w:highlight w:val="none"/>
        </w:rPr>
        <w:t>42.2 质疑函应当包括下列主要内容：</w:t>
      </w:r>
    </w:p>
    <w:p>
      <w:pPr>
        <w:tabs>
          <w:tab w:val="left" w:pos="567"/>
        </w:tabs>
        <w:spacing w:line="360" w:lineRule="auto"/>
        <w:ind w:left="480" w:left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(1)质疑供应商和相关供应商的名称、地址、邮编、联系人及联系电话等；</w:t>
      </w:r>
    </w:p>
    <w:p>
      <w:pPr>
        <w:tabs>
          <w:tab w:val="left" w:pos="567"/>
        </w:tabs>
        <w:spacing w:line="360" w:lineRule="auto"/>
        <w:ind w:left="480" w:left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(2)质疑项目名称及编号、具体明确的质疑事项和与质疑事项相关的请求；</w:t>
      </w:r>
    </w:p>
    <w:p>
      <w:pPr>
        <w:tabs>
          <w:tab w:val="left" w:pos="567"/>
        </w:tabs>
        <w:spacing w:line="360" w:lineRule="auto"/>
        <w:ind w:left="480" w:left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(3)认为采购文件、采购过程、成交和成交结果使自己的合法权益受到损害的法律依据、事实依据、相关证明材料及证据来源；</w:t>
      </w:r>
    </w:p>
    <w:p>
      <w:pPr>
        <w:tabs>
          <w:tab w:val="left" w:pos="567"/>
        </w:tabs>
        <w:spacing w:line="360" w:lineRule="auto"/>
        <w:ind w:left="480" w:left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(4)提出质疑的日期。</w:t>
      </w:r>
    </w:p>
    <w:p>
      <w:pPr>
        <w:spacing w:line="360" w:lineRule="auto"/>
        <w:ind w:left="539" w:right="17" w:hanging="539"/>
        <w:jc w:val="both"/>
        <w:rPr>
          <w:rFonts w:hAnsi="宋体"/>
          <w:color w:val="auto"/>
          <w:sz w:val="21"/>
          <w:szCs w:val="21"/>
          <w:highlight w:val="none"/>
        </w:rPr>
      </w:pPr>
      <w:r>
        <w:rPr>
          <w:rFonts w:hint="eastAsia" w:hAnsi="宋体"/>
          <w:color w:val="auto"/>
          <w:sz w:val="21"/>
          <w:szCs w:val="21"/>
          <w:highlight w:val="none"/>
        </w:rPr>
        <w:t>42.3 质疑函应当署名。质疑供应商为自然人的，应当由本人签字；质疑供应商为法人或者其他组织的，应当由法定代表人、主要负责人，或者其授权代表签字或者盖章，并加盖公章。</w:t>
      </w:r>
    </w:p>
    <w:p>
      <w:pPr>
        <w:spacing w:line="360" w:lineRule="auto"/>
        <w:ind w:left="539" w:right="17" w:hanging="539"/>
        <w:jc w:val="both"/>
        <w:rPr>
          <w:rFonts w:hAnsi="宋体"/>
          <w:color w:val="auto"/>
          <w:sz w:val="21"/>
          <w:szCs w:val="21"/>
          <w:highlight w:val="none"/>
        </w:rPr>
      </w:pPr>
      <w:r>
        <w:rPr>
          <w:rFonts w:hint="eastAsia" w:hAnsi="宋体"/>
          <w:color w:val="auto"/>
          <w:sz w:val="21"/>
          <w:szCs w:val="21"/>
          <w:highlight w:val="none"/>
        </w:rPr>
        <w:t>42.4</w:t>
      </w:r>
      <w:r>
        <w:rPr>
          <w:rFonts w:hint="eastAsia" w:hAnsi="宋体"/>
          <w:color w:val="auto"/>
          <w:sz w:val="21"/>
          <w:szCs w:val="21"/>
          <w:highlight w:val="none"/>
        </w:rPr>
        <w:tab/>
      </w:r>
      <w:r>
        <w:rPr>
          <w:rFonts w:hint="eastAsia" w:hAnsi="宋体"/>
          <w:color w:val="auto"/>
          <w:sz w:val="21"/>
          <w:szCs w:val="21"/>
          <w:highlight w:val="none"/>
        </w:rPr>
        <w:t>以联合体形式参加政府采购活动的，其质疑应当由联合体成员委托主体提出。</w:t>
      </w:r>
    </w:p>
    <w:p>
      <w:pPr>
        <w:spacing w:line="360" w:lineRule="auto"/>
        <w:ind w:left="539" w:right="17" w:hanging="539"/>
        <w:jc w:val="both"/>
        <w:rPr>
          <w:rFonts w:hAnsi="宋体"/>
          <w:color w:val="auto"/>
          <w:sz w:val="21"/>
          <w:szCs w:val="21"/>
          <w:highlight w:val="none"/>
        </w:rPr>
      </w:pPr>
      <w:r>
        <w:rPr>
          <w:rFonts w:hint="eastAsia" w:hAnsi="宋体"/>
          <w:color w:val="auto"/>
          <w:sz w:val="21"/>
          <w:szCs w:val="21"/>
          <w:highlight w:val="none"/>
        </w:rPr>
        <w:t>42.5</w:t>
      </w:r>
      <w:r>
        <w:rPr>
          <w:rFonts w:hint="eastAsia" w:hAnsi="宋体"/>
          <w:color w:val="auto"/>
          <w:sz w:val="21"/>
          <w:szCs w:val="21"/>
          <w:highlight w:val="none"/>
        </w:rPr>
        <w:tab/>
      </w:r>
      <w:r>
        <w:rPr>
          <w:rFonts w:hint="eastAsia" w:hAnsi="宋体"/>
          <w:color w:val="auto"/>
          <w:sz w:val="21"/>
          <w:szCs w:val="21"/>
          <w:highlight w:val="none"/>
        </w:rPr>
        <w:t>供应商质疑应当有明确的请求和必要的证明材料。质疑内容不得含有虚假、恶意成份。依照谁主张谁举证的原则，提出质疑者必须同时提交相关确凿的证据材料和注明证据的确切来源，证据来源必须合法，采购人或采购代理机构有权将质疑函转发质疑事项各关联方，请其作出解释说明。对捏造事实、滥用维权扰乱采购秩序的恶意质疑者，将上报政府采购监督管理部门依法处理。</w:t>
      </w:r>
    </w:p>
    <w:p>
      <w:pPr>
        <w:spacing w:line="360" w:lineRule="auto"/>
        <w:ind w:left="539" w:right="17" w:hanging="539"/>
        <w:jc w:val="both"/>
        <w:rPr>
          <w:rFonts w:hAnsi="宋体"/>
          <w:color w:val="auto"/>
          <w:sz w:val="21"/>
          <w:szCs w:val="21"/>
          <w:highlight w:val="none"/>
        </w:rPr>
      </w:pPr>
      <w:r>
        <w:rPr>
          <w:rFonts w:hint="eastAsia" w:hAnsi="宋体"/>
          <w:color w:val="auto"/>
          <w:sz w:val="21"/>
          <w:szCs w:val="21"/>
          <w:highlight w:val="none"/>
        </w:rPr>
        <w:t>42.6</w:t>
      </w:r>
      <w:r>
        <w:rPr>
          <w:rFonts w:hint="eastAsia" w:hAnsi="宋体"/>
          <w:color w:val="auto"/>
          <w:sz w:val="21"/>
          <w:szCs w:val="21"/>
          <w:highlight w:val="none"/>
        </w:rPr>
        <w:tab/>
      </w:r>
      <w:r>
        <w:rPr>
          <w:rFonts w:hint="eastAsia" w:hAnsi="宋体"/>
          <w:color w:val="auto"/>
          <w:sz w:val="21"/>
          <w:szCs w:val="21"/>
          <w:highlight w:val="none"/>
        </w:rPr>
        <w:t>质疑联系方式如下：</w:t>
      </w:r>
    </w:p>
    <w:p>
      <w:pPr>
        <w:tabs>
          <w:tab w:val="left" w:pos="567"/>
        </w:tabs>
        <w:spacing w:line="360" w:lineRule="auto"/>
        <w:ind w:left="480" w:leftChars="200"/>
        <w:jc w:val="both"/>
        <w:rPr>
          <w:rFonts w:hint="eastAsia" w:hAnsi="宋体" w:eastAsia="宋体"/>
          <w:color w:val="auto"/>
          <w:kern w:val="2"/>
          <w:sz w:val="21"/>
          <w:szCs w:val="21"/>
          <w:highlight w:val="none"/>
          <w:lang w:val="zh-CN" w:eastAsia="zh-CN"/>
        </w:rPr>
      </w:pPr>
      <w:r>
        <w:rPr>
          <w:rFonts w:hint="eastAsia" w:hAnsi="宋体"/>
          <w:color w:val="auto"/>
          <w:kern w:val="2"/>
          <w:sz w:val="21"/>
          <w:szCs w:val="21"/>
          <w:highlight w:val="none"/>
          <w:lang w:val="zh-CN"/>
        </w:rPr>
        <w:t>质疑联系人：</w:t>
      </w:r>
      <w:r>
        <w:rPr>
          <w:rFonts w:hint="eastAsia" w:hAnsi="宋体"/>
          <w:color w:val="auto"/>
          <w:kern w:val="2"/>
          <w:sz w:val="21"/>
          <w:szCs w:val="21"/>
          <w:highlight w:val="none"/>
        </w:rPr>
        <w:t>叶</w:t>
      </w:r>
      <w:r>
        <w:rPr>
          <w:rFonts w:hint="eastAsia" w:hAnsi="宋体"/>
          <w:color w:val="auto"/>
          <w:kern w:val="2"/>
          <w:sz w:val="21"/>
          <w:szCs w:val="21"/>
          <w:highlight w:val="none"/>
          <w:lang w:val="en-US" w:eastAsia="zh-CN"/>
        </w:rPr>
        <w:t>工</w:t>
      </w:r>
    </w:p>
    <w:p>
      <w:pPr>
        <w:tabs>
          <w:tab w:val="left" w:pos="567"/>
        </w:tabs>
        <w:spacing w:line="360" w:lineRule="auto"/>
        <w:ind w:left="480" w:leftChars="200"/>
        <w:jc w:val="both"/>
        <w:rPr>
          <w:rFonts w:hAnsi="宋体"/>
          <w:color w:val="auto"/>
          <w:kern w:val="2"/>
          <w:sz w:val="21"/>
          <w:szCs w:val="21"/>
          <w:highlight w:val="none"/>
        </w:rPr>
      </w:pPr>
      <w:r>
        <w:rPr>
          <w:rFonts w:hint="eastAsia" w:hAnsi="宋体"/>
          <w:color w:val="auto"/>
          <w:kern w:val="2"/>
          <w:sz w:val="21"/>
          <w:szCs w:val="21"/>
          <w:highlight w:val="none"/>
          <w:lang w:val="zh-CN"/>
        </w:rPr>
        <w:t>电话：0769-2</w:t>
      </w:r>
      <w:r>
        <w:rPr>
          <w:rFonts w:hint="eastAsia" w:hAnsi="宋体"/>
          <w:color w:val="auto"/>
          <w:kern w:val="2"/>
          <w:sz w:val="21"/>
          <w:szCs w:val="21"/>
          <w:highlight w:val="none"/>
        </w:rPr>
        <w:t>2224212</w:t>
      </w:r>
    </w:p>
    <w:p>
      <w:pPr>
        <w:tabs>
          <w:tab w:val="left" w:pos="567"/>
        </w:tabs>
        <w:spacing w:line="360" w:lineRule="auto"/>
        <w:ind w:left="480" w:leftChars="200"/>
        <w:jc w:val="both"/>
        <w:rPr>
          <w:rFonts w:hAnsi="宋体"/>
          <w:color w:val="auto"/>
          <w:kern w:val="2"/>
          <w:sz w:val="21"/>
          <w:szCs w:val="21"/>
          <w:highlight w:val="none"/>
        </w:rPr>
      </w:pPr>
      <w:r>
        <w:rPr>
          <w:rFonts w:hint="eastAsia" w:hAnsi="宋体"/>
          <w:color w:val="auto"/>
          <w:kern w:val="2"/>
          <w:sz w:val="21"/>
          <w:szCs w:val="21"/>
          <w:highlight w:val="none"/>
          <w:lang w:val="zh-CN"/>
        </w:rPr>
        <w:t>传真：</w:t>
      </w:r>
      <w:r>
        <w:rPr>
          <w:rFonts w:hint="eastAsia" w:hAnsi="宋体"/>
          <w:color w:val="auto"/>
          <w:kern w:val="2"/>
          <w:sz w:val="21"/>
          <w:szCs w:val="21"/>
          <w:highlight w:val="none"/>
        </w:rPr>
        <w:t>\</w:t>
      </w:r>
    </w:p>
    <w:p>
      <w:pPr>
        <w:tabs>
          <w:tab w:val="left" w:pos="567"/>
        </w:tabs>
        <w:spacing w:line="360" w:lineRule="auto"/>
        <w:ind w:left="480" w:left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邮箱：zkzb@foxmail.com</w:t>
      </w:r>
    </w:p>
    <w:p>
      <w:pPr>
        <w:tabs>
          <w:tab w:val="left" w:pos="567"/>
        </w:tabs>
        <w:spacing w:line="360" w:lineRule="auto"/>
        <w:ind w:left="480" w:leftChars="200"/>
        <w:jc w:val="both"/>
        <w:rPr>
          <w:rFonts w:hAnsi="宋体"/>
          <w:color w:val="auto"/>
          <w:kern w:val="2"/>
          <w:sz w:val="21"/>
          <w:szCs w:val="21"/>
          <w:highlight w:val="none"/>
          <w:lang w:val="zh-CN"/>
        </w:rPr>
      </w:pPr>
      <w:r>
        <w:rPr>
          <w:rFonts w:hint="eastAsia" w:hAnsi="宋体"/>
          <w:color w:val="auto"/>
          <w:kern w:val="2"/>
          <w:sz w:val="21"/>
          <w:szCs w:val="21"/>
          <w:highlight w:val="none"/>
          <w:lang w:val="zh-CN"/>
        </w:rPr>
        <w:t>地址：</w:t>
      </w:r>
      <w:r>
        <w:rPr>
          <w:rFonts w:hAnsi="宋体"/>
          <w:color w:val="auto"/>
          <w:sz w:val="21"/>
          <w:szCs w:val="21"/>
          <w:highlight w:val="none"/>
        </w:rPr>
        <w:t>东莞市南城街道体育路南城段26号盈锋商务中心2栋708室（西区708室）</w:t>
      </w:r>
    </w:p>
    <w:p>
      <w:pPr>
        <w:tabs>
          <w:tab w:val="left" w:pos="567"/>
        </w:tabs>
        <w:spacing w:line="360" w:lineRule="auto"/>
        <w:ind w:left="480" w:leftChars="200"/>
        <w:jc w:val="both"/>
        <w:rPr>
          <w:rFonts w:hAnsi="宋体"/>
          <w:color w:val="auto"/>
          <w:kern w:val="2"/>
          <w:sz w:val="21"/>
          <w:szCs w:val="21"/>
          <w:highlight w:val="none"/>
        </w:rPr>
      </w:pPr>
      <w:r>
        <w:rPr>
          <w:rFonts w:hint="eastAsia" w:hAnsi="宋体"/>
          <w:color w:val="auto"/>
          <w:kern w:val="2"/>
          <w:sz w:val="21"/>
          <w:szCs w:val="21"/>
          <w:highlight w:val="none"/>
          <w:lang w:val="zh-CN"/>
        </w:rPr>
        <w:t>邮编：</w:t>
      </w:r>
      <w:r>
        <w:rPr>
          <w:rFonts w:hint="eastAsia" w:hAnsi="宋体"/>
          <w:color w:val="auto"/>
          <w:kern w:val="2"/>
          <w:sz w:val="21"/>
          <w:szCs w:val="21"/>
          <w:highlight w:val="none"/>
        </w:rPr>
        <w:t>523000</w:t>
      </w:r>
    </w:p>
    <w:p>
      <w:pPr>
        <w:pStyle w:val="2"/>
        <w:keepNext/>
        <w:keepLines/>
        <w:pageBreakBefore/>
        <w:numPr>
          <w:ilvl w:val="0"/>
          <w:numId w:val="7"/>
        </w:numPr>
        <w:tabs>
          <w:tab w:val="left" w:pos="1080"/>
        </w:tabs>
        <w:spacing w:line="360" w:lineRule="auto"/>
        <w:ind w:left="1262" w:hanging="1262" w:hangingChars="449"/>
        <w:jc w:val="center"/>
        <w:rPr>
          <w:rFonts w:hAnsi="宋体"/>
          <w:color w:val="auto"/>
          <w:szCs w:val="21"/>
          <w:highlight w:val="none"/>
          <w:lang w:val="zh-CN"/>
        </w:rPr>
      </w:pPr>
      <w:bookmarkStart w:id="80" w:name="_Toc396137262"/>
      <w:r>
        <w:rPr>
          <w:rFonts w:hint="eastAsia" w:hAnsi="宋体"/>
          <w:b/>
          <w:bCs/>
          <w:color w:val="auto"/>
          <w:kern w:val="44"/>
          <w:sz w:val="28"/>
          <w:szCs w:val="28"/>
          <w:highlight w:val="none"/>
        </w:rPr>
        <w:t xml:space="preserve"> </w:t>
      </w:r>
      <w:bookmarkStart w:id="81" w:name="_Toc4016"/>
      <w:r>
        <w:rPr>
          <w:rFonts w:hint="eastAsia" w:hAnsi="宋体"/>
          <w:b/>
          <w:bCs/>
          <w:color w:val="auto"/>
          <w:kern w:val="44"/>
          <w:sz w:val="28"/>
          <w:szCs w:val="28"/>
          <w:highlight w:val="none"/>
          <w:lang w:val="zh-CN"/>
        </w:rPr>
        <w:t>评标工作大纲</w:t>
      </w:r>
      <w:bookmarkEnd w:id="80"/>
      <w:bookmarkEnd w:id="81"/>
    </w:p>
    <w:p>
      <w:pPr>
        <w:tabs>
          <w:tab w:val="left" w:pos="1287"/>
        </w:tabs>
        <w:snapToGrid w:val="0"/>
        <w:spacing w:line="360" w:lineRule="auto"/>
        <w:ind w:left="-53" w:leftChars="-22" w:firstLine="51" w:firstLineChars="24"/>
        <w:outlineLvl w:val="1"/>
        <w:rPr>
          <w:rFonts w:hAnsi="宋体"/>
          <w:b/>
          <w:color w:val="auto"/>
          <w:sz w:val="21"/>
          <w:szCs w:val="21"/>
          <w:highlight w:val="none"/>
        </w:rPr>
      </w:pPr>
      <w:bookmarkStart w:id="82" w:name="_Toc396137263"/>
      <w:bookmarkStart w:id="83" w:name="_Toc12768"/>
      <w:r>
        <w:rPr>
          <w:rFonts w:hint="eastAsia" w:hAnsi="宋体"/>
          <w:b/>
          <w:color w:val="auto"/>
          <w:sz w:val="21"/>
          <w:szCs w:val="21"/>
          <w:highlight w:val="none"/>
        </w:rPr>
        <w:t>一、评标原则和</w:t>
      </w:r>
      <w:bookmarkEnd w:id="82"/>
      <w:r>
        <w:rPr>
          <w:rFonts w:hint="eastAsia" w:hAnsi="宋体"/>
          <w:b/>
          <w:color w:val="auto"/>
          <w:sz w:val="21"/>
          <w:szCs w:val="21"/>
          <w:highlight w:val="none"/>
        </w:rPr>
        <w:t>方法</w:t>
      </w:r>
      <w:bookmarkEnd w:id="83"/>
    </w:p>
    <w:p>
      <w:pPr>
        <w:snapToGrid w:val="0"/>
        <w:spacing w:line="360" w:lineRule="auto"/>
        <w:ind w:firstLine="422" w:firstLineChars="200"/>
        <w:rPr>
          <w:rFonts w:hAnsi="宋体"/>
          <w:color w:val="auto"/>
          <w:sz w:val="21"/>
          <w:szCs w:val="21"/>
          <w:highlight w:val="none"/>
        </w:rPr>
      </w:pPr>
      <w:r>
        <w:rPr>
          <w:rFonts w:hint="eastAsia" w:hAnsi="宋体"/>
          <w:b/>
          <w:color w:val="auto"/>
          <w:sz w:val="21"/>
          <w:szCs w:val="21"/>
          <w:highlight w:val="none"/>
        </w:rPr>
        <w:t>1、评标原则:</w:t>
      </w:r>
      <w:r>
        <w:rPr>
          <w:rFonts w:hint="eastAsia" w:hAnsi="宋体"/>
          <w:color w:val="auto"/>
          <w:sz w:val="21"/>
          <w:szCs w:val="21"/>
          <w:highlight w:val="none"/>
        </w:rPr>
        <w:t>评标工作应</w:t>
      </w:r>
      <w:r>
        <w:rPr>
          <w:rFonts w:hint="eastAsia" w:hAnsi="宋体"/>
          <w:color w:val="auto"/>
          <w:sz w:val="21"/>
          <w:szCs w:val="21"/>
          <w:highlight w:val="none"/>
          <w:lang w:val="en-US" w:eastAsia="zh-CN"/>
        </w:rPr>
        <w:t>参照</w:t>
      </w:r>
      <w:r>
        <w:rPr>
          <w:rFonts w:hint="eastAsia" w:hAnsi="宋体"/>
          <w:color w:val="auto"/>
          <w:sz w:val="21"/>
          <w:szCs w:val="21"/>
          <w:highlight w:val="none"/>
        </w:rPr>
        <w:t>《中华人民共和国政府采购法》、《中华人民共和国政府采购法实施条例》（国务院令第658号）和《政府采购竞争性磋商采购方式管理暂行办法》（财库〔2014〕214号）及国家和广东省有关法律、法规、规章制度，遵循“公开、公平、公正、择优、信用”的原则进行评标。</w:t>
      </w:r>
    </w:p>
    <w:p>
      <w:pPr>
        <w:snapToGrid w:val="0"/>
        <w:spacing w:line="360" w:lineRule="auto"/>
        <w:ind w:firstLine="422" w:firstLineChars="200"/>
        <w:rPr>
          <w:rFonts w:hAnsi="宋体"/>
          <w:color w:val="auto"/>
          <w:sz w:val="21"/>
          <w:szCs w:val="21"/>
          <w:highlight w:val="none"/>
        </w:rPr>
      </w:pPr>
      <w:r>
        <w:rPr>
          <w:rFonts w:hint="eastAsia" w:hAnsi="宋体"/>
          <w:b/>
          <w:color w:val="auto"/>
          <w:sz w:val="21"/>
          <w:szCs w:val="21"/>
          <w:highlight w:val="none"/>
        </w:rPr>
        <w:t>2、评标方法：</w:t>
      </w:r>
      <w:r>
        <w:rPr>
          <w:rFonts w:hint="eastAsia" w:hAnsi="宋体"/>
          <w:color w:val="auto"/>
          <w:sz w:val="21"/>
          <w:szCs w:val="21"/>
          <w:highlight w:val="none"/>
        </w:rPr>
        <w:t>本次磋商的评标方法采用综合评分法，综合评分法,是指响应文件满足磋商文件全部实质性要求，且按照评审因素的量化指标评审得分最高的供应商为成交候选人的评标方法。（最低报价不是成交的唯一依据。）</w:t>
      </w:r>
    </w:p>
    <w:p>
      <w:pPr>
        <w:snapToGrid w:val="0"/>
        <w:spacing w:line="360" w:lineRule="auto"/>
        <w:ind w:firstLine="422" w:firstLineChars="200"/>
        <w:rPr>
          <w:rFonts w:hAnsi="宋体"/>
          <w:b/>
          <w:color w:val="auto"/>
          <w:sz w:val="21"/>
          <w:szCs w:val="21"/>
          <w:highlight w:val="none"/>
        </w:rPr>
      </w:pPr>
      <w:r>
        <w:rPr>
          <w:rFonts w:hint="eastAsia" w:hAnsi="宋体"/>
          <w:b/>
          <w:color w:val="auto"/>
          <w:sz w:val="21"/>
          <w:szCs w:val="21"/>
          <w:highlight w:val="none"/>
        </w:rPr>
        <w:t>3、评标纪律</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rPr>
        <w:t>3.1 评标在严格保密的情况下进行，除采购人代表、评标现场组织人员外，采购人的其他工作人员以及与评标工作无关的人员不得进入评标现场。</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rPr>
        <w:t>3.2 评标有关人员对评标情况以及在评标过程中获悉的国家秘密、商业秘密负有保密责任。</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rPr>
        <w:t>3.3 磋商小组及其成员不得有下列行为：</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rPr>
        <w:t>　　1）确定参与评标至评标结束前私自接触供应商；</w:t>
      </w:r>
    </w:p>
    <w:p>
      <w:pPr>
        <w:snapToGrid w:val="0"/>
        <w:spacing w:line="360" w:lineRule="auto"/>
        <w:ind w:left="1134" w:leftChars="175" w:hanging="714" w:hangingChars="340"/>
        <w:rPr>
          <w:rFonts w:hAnsi="宋体"/>
          <w:color w:val="auto"/>
          <w:sz w:val="21"/>
          <w:szCs w:val="21"/>
          <w:highlight w:val="none"/>
        </w:rPr>
      </w:pPr>
      <w:r>
        <w:rPr>
          <w:rFonts w:hint="eastAsia" w:hAnsi="宋体"/>
          <w:color w:val="auto"/>
          <w:sz w:val="21"/>
          <w:szCs w:val="21"/>
          <w:highlight w:val="none"/>
        </w:rPr>
        <w:t>　　2）接受供应商提出的与响应文件不一致的澄清或者说明，《政府采购货物和服务招标投标管理办法》第五十一条规定的情形除外；</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rPr>
        <w:t>　　3）违反评标纪律发表倾向性意见或者征询采购人的倾向性意见；</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rPr>
        <w:t>　　4）对需要专业判断的主观评审因素协商评分；</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rPr>
        <w:t>　　5）在评标过程中擅离职守，影响评标程序正常进行的；</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rPr>
        <w:t>　　6）记录、复制或者带走任何评标资料；</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rPr>
        <w:t>　　7）其他不遵守评标纪律的行为。</w:t>
      </w:r>
    </w:p>
    <w:p>
      <w:pPr>
        <w:tabs>
          <w:tab w:val="left" w:pos="1287"/>
        </w:tabs>
        <w:snapToGrid w:val="0"/>
        <w:spacing w:line="360" w:lineRule="auto"/>
        <w:ind w:left="-53" w:leftChars="-22" w:firstLine="51" w:firstLineChars="24"/>
        <w:outlineLvl w:val="1"/>
        <w:rPr>
          <w:rFonts w:hAnsi="宋体"/>
          <w:b/>
          <w:color w:val="auto"/>
          <w:sz w:val="21"/>
          <w:szCs w:val="21"/>
          <w:highlight w:val="none"/>
        </w:rPr>
      </w:pPr>
      <w:bookmarkStart w:id="84" w:name="_Toc7123"/>
      <w:bookmarkStart w:id="85" w:name="_Toc396137264"/>
      <w:r>
        <w:rPr>
          <w:rFonts w:hint="eastAsia" w:hAnsi="宋体"/>
          <w:b/>
          <w:color w:val="auto"/>
          <w:sz w:val="21"/>
          <w:szCs w:val="21"/>
          <w:highlight w:val="none"/>
        </w:rPr>
        <w:t>二、评标程序</w:t>
      </w:r>
      <w:bookmarkEnd w:id="84"/>
      <w:bookmarkEnd w:id="85"/>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rPr>
        <w:t>磋商小组根据《资格性审查表》和《符合性审查表》的内容逐条对响应文件进行评审，审查每份响应文件的相关资格证明文件是否齐全有效。审查每份响应文件是否实质上响应了磋商文件的要求，只要不满足《资格性审查表》和《符合性审查表》所列各项要求之一的，将被认定为无效响应。对响应有效性认定意见不一致的，磋商小组按少数服从多数原则表决决定。</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rPr>
        <w:t>磋商小组对各磋商供应商进行资格性和符合性审查过程中，对初步被认定为初审不合格或无效响应者应实行及时告知，由磋商小组组长或采购人代表将集体意见及时告知报价当事人。</w:t>
      </w:r>
    </w:p>
    <w:p>
      <w:pPr>
        <w:snapToGrid/>
        <w:spacing w:line="240" w:lineRule="auto"/>
        <w:ind w:firstLine="0" w:firstLineChars="0"/>
        <w:rPr>
          <w:rFonts w:hint="eastAsia" w:hAnsi="宋体"/>
          <w:b/>
          <w:color w:val="auto"/>
          <w:sz w:val="21"/>
          <w:szCs w:val="21"/>
          <w:highlight w:val="none"/>
        </w:rPr>
      </w:pPr>
      <w:r>
        <w:rPr>
          <w:rFonts w:hint="eastAsia" w:hAnsi="宋体"/>
          <w:b/>
          <w:color w:val="auto"/>
          <w:sz w:val="21"/>
          <w:szCs w:val="21"/>
          <w:highlight w:val="none"/>
        </w:rPr>
        <w:br w:type="page"/>
      </w:r>
    </w:p>
    <w:p>
      <w:pPr>
        <w:snapToGrid w:val="0"/>
        <w:spacing w:line="360" w:lineRule="auto"/>
        <w:ind w:firstLine="422" w:firstLineChars="200"/>
        <w:rPr>
          <w:rFonts w:hAnsi="宋体"/>
          <w:b/>
          <w:color w:val="auto"/>
          <w:sz w:val="21"/>
          <w:szCs w:val="21"/>
          <w:highlight w:val="none"/>
        </w:rPr>
      </w:pPr>
      <w:r>
        <w:rPr>
          <w:rFonts w:hint="eastAsia" w:hAnsi="宋体"/>
          <w:b/>
          <w:color w:val="auto"/>
          <w:sz w:val="21"/>
          <w:szCs w:val="21"/>
          <w:highlight w:val="none"/>
        </w:rPr>
        <w:t>1、资格审查</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rPr>
        <w:t>1.1 磋商小组将</w:t>
      </w:r>
      <w:r>
        <w:rPr>
          <w:rFonts w:hint="eastAsia" w:hAnsi="宋体"/>
          <w:color w:val="auto"/>
          <w:sz w:val="21"/>
          <w:szCs w:val="21"/>
          <w:highlight w:val="none"/>
          <w:lang w:val="en-US" w:eastAsia="zh-CN"/>
        </w:rPr>
        <w:t>依法对</w:t>
      </w:r>
      <w:r>
        <w:rPr>
          <w:rFonts w:hint="eastAsia" w:hAnsi="宋体"/>
          <w:color w:val="auto"/>
          <w:sz w:val="21"/>
          <w:szCs w:val="21"/>
          <w:highlight w:val="none"/>
        </w:rPr>
        <w:t>供应商的响应文件进行资格性审查，以确定其是否满足磋商文件的实质性要求。</w:t>
      </w:r>
    </w:p>
    <w:p>
      <w:pPr>
        <w:snapToGrid w:val="0"/>
        <w:spacing w:line="360" w:lineRule="auto"/>
        <w:ind w:firstLine="422" w:firstLineChars="200"/>
        <w:rPr>
          <w:rFonts w:hAnsi="宋体"/>
          <w:b/>
          <w:color w:val="auto"/>
          <w:sz w:val="21"/>
          <w:szCs w:val="21"/>
          <w:highlight w:val="none"/>
        </w:rPr>
      </w:pPr>
      <w:r>
        <w:rPr>
          <w:rFonts w:hint="eastAsia" w:hAnsi="宋体"/>
          <w:b/>
          <w:color w:val="auto"/>
          <w:sz w:val="21"/>
          <w:szCs w:val="21"/>
          <w:highlight w:val="none"/>
        </w:rPr>
        <w:t>1.2 资格性审查表:</w:t>
      </w:r>
    </w:p>
    <w:tbl>
      <w:tblPr>
        <w:tblStyle w:val="48"/>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36"/>
        <w:gridCol w:w="1717"/>
        <w:gridCol w:w="60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32" w:type="pct"/>
            <w:vAlign w:val="center"/>
          </w:tcPr>
          <w:p>
            <w:pPr>
              <w:autoSpaceDE/>
              <w:autoSpaceDN/>
              <w:adjustRightInd/>
              <w:spacing w:line="420" w:lineRule="exact"/>
              <w:jc w:val="center"/>
              <w:rPr>
                <w:rFonts w:hAnsi="宋体" w:cs="宋体"/>
                <w:b/>
                <w:color w:val="auto"/>
                <w:sz w:val="21"/>
                <w:szCs w:val="21"/>
                <w:highlight w:val="none"/>
              </w:rPr>
            </w:pPr>
            <w:r>
              <w:rPr>
                <w:rFonts w:hint="eastAsia" w:hAnsi="宋体" w:cs="宋体"/>
                <w:b/>
                <w:color w:val="auto"/>
                <w:sz w:val="21"/>
                <w:szCs w:val="21"/>
                <w:highlight w:val="none"/>
              </w:rPr>
              <w:t>序号</w:t>
            </w:r>
          </w:p>
        </w:tc>
        <w:tc>
          <w:tcPr>
            <w:tcW w:w="4567" w:type="pct"/>
            <w:gridSpan w:val="2"/>
            <w:vAlign w:val="center"/>
          </w:tcPr>
          <w:p>
            <w:pPr>
              <w:autoSpaceDE/>
              <w:autoSpaceDN/>
              <w:adjustRightInd/>
              <w:spacing w:line="420" w:lineRule="exact"/>
              <w:jc w:val="center"/>
              <w:rPr>
                <w:rFonts w:hAnsi="宋体" w:cs="宋体"/>
                <w:b/>
                <w:color w:val="auto"/>
                <w:sz w:val="21"/>
                <w:szCs w:val="21"/>
                <w:highlight w:val="none"/>
              </w:rPr>
            </w:pPr>
            <w:r>
              <w:rPr>
                <w:rFonts w:hint="eastAsia" w:hAnsi="宋体" w:cs="宋体"/>
                <w:b/>
                <w:color w:val="auto"/>
                <w:sz w:val="21"/>
                <w:szCs w:val="21"/>
                <w:highlight w:val="none"/>
              </w:rPr>
              <w:t>资格审查内容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32" w:type="pct"/>
            <w:vAlign w:val="center"/>
          </w:tcPr>
          <w:p>
            <w:pPr>
              <w:autoSpaceDE/>
              <w:autoSpaceDN/>
              <w:adjustRightInd/>
              <w:spacing w:line="42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1</w:t>
            </w:r>
          </w:p>
        </w:tc>
        <w:tc>
          <w:tcPr>
            <w:tcW w:w="1007" w:type="pct"/>
            <w:vAlign w:val="center"/>
          </w:tcPr>
          <w:p>
            <w:pPr>
              <w:autoSpaceDE/>
              <w:autoSpaceDN/>
              <w:adjustRightInd/>
              <w:spacing w:line="42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具有独立承担民事责任的能力</w:t>
            </w:r>
          </w:p>
        </w:tc>
        <w:tc>
          <w:tcPr>
            <w:tcW w:w="3559" w:type="pct"/>
            <w:vAlign w:val="center"/>
          </w:tcPr>
          <w:p>
            <w:pPr>
              <w:autoSpaceDE/>
              <w:autoSpaceDN/>
              <w:adjustRightInd/>
              <w:spacing w:line="420" w:lineRule="exact"/>
              <w:jc w:val="both"/>
              <w:rPr>
                <w:rFonts w:hAnsi="宋体" w:cs="宋体"/>
                <w:color w:val="auto"/>
                <w:kern w:val="2"/>
                <w:sz w:val="21"/>
                <w:szCs w:val="21"/>
                <w:highlight w:val="none"/>
              </w:rPr>
            </w:pPr>
            <w:r>
              <w:rPr>
                <w:rFonts w:hint="eastAsia" w:hAnsi="宋体" w:cs="宋体"/>
                <w:color w:val="auto"/>
                <w:kern w:val="2"/>
                <w:sz w:val="21"/>
                <w:szCs w:val="21"/>
                <w:highlight w:val="none"/>
              </w:rPr>
              <w:t>在中华人民共和国境内注册的法人或其他组织或自然人，投标（响应）时提交有效的营业执照（或事业法人登记证或身份证等相关证明）副本复印件。分支机构投标的，须提供总公司和分公司营业执照副本复印件，总公司出具给分支机构的授权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32" w:type="pct"/>
            <w:vAlign w:val="center"/>
          </w:tcPr>
          <w:p>
            <w:pPr>
              <w:autoSpaceDE/>
              <w:autoSpaceDN/>
              <w:adjustRightInd/>
              <w:spacing w:line="42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2</w:t>
            </w:r>
          </w:p>
        </w:tc>
        <w:tc>
          <w:tcPr>
            <w:tcW w:w="1007" w:type="pct"/>
            <w:vAlign w:val="center"/>
          </w:tcPr>
          <w:p>
            <w:pPr>
              <w:autoSpaceDE/>
              <w:autoSpaceDN/>
              <w:adjustRightInd/>
              <w:spacing w:line="42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有依法缴纳税收和社会保障资金的良好记录</w:t>
            </w:r>
          </w:p>
        </w:tc>
        <w:tc>
          <w:tcPr>
            <w:tcW w:w="3559" w:type="pct"/>
            <w:vAlign w:val="center"/>
          </w:tcPr>
          <w:p>
            <w:pPr>
              <w:autoSpaceDE/>
              <w:autoSpaceDN/>
              <w:adjustRightInd/>
              <w:spacing w:line="420" w:lineRule="exact"/>
              <w:jc w:val="both"/>
              <w:rPr>
                <w:rFonts w:hAnsi="宋体" w:cs="宋体"/>
                <w:color w:val="auto"/>
                <w:kern w:val="2"/>
                <w:sz w:val="21"/>
                <w:szCs w:val="21"/>
                <w:highlight w:val="none"/>
              </w:rPr>
            </w:pPr>
            <w:r>
              <w:rPr>
                <w:rFonts w:hint="eastAsia" w:hAnsi="宋体"/>
                <w:color w:val="auto"/>
                <w:sz w:val="21"/>
                <w:szCs w:val="21"/>
                <w:highlight w:val="none"/>
              </w:rPr>
              <w:t>提供投标截止日前6个月内任意1个月依法缴纳税收和社会保障资金的相关材料。如依法免税或不需要缴纳社会保障资金的，提供相应证明材料。（或提供供应商资格声明函，格式可参考磋商文件第六篇）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32" w:type="pct"/>
            <w:vAlign w:val="center"/>
          </w:tcPr>
          <w:p>
            <w:pPr>
              <w:autoSpaceDE/>
              <w:autoSpaceDN/>
              <w:adjustRightInd/>
              <w:spacing w:line="42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3</w:t>
            </w:r>
          </w:p>
        </w:tc>
        <w:tc>
          <w:tcPr>
            <w:tcW w:w="1007" w:type="pct"/>
            <w:vAlign w:val="center"/>
          </w:tcPr>
          <w:p>
            <w:pPr>
              <w:autoSpaceDE/>
              <w:autoSpaceDN/>
              <w:adjustRightInd/>
              <w:spacing w:line="42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具有良好的商业信誉和健全的财务会计制度</w:t>
            </w:r>
          </w:p>
        </w:tc>
        <w:tc>
          <w:tcPr>
            <w:tcW w:w="3559" w:type="pct"/>
            <w:vAlign w:val="center"/>
          </w:tcPr>
          <w:p>
            <w:pPr>
              <w:spacing w:line="420" w:lineRule="exact"/>
              <w:rPr>
                <w:rFonts w:hAnsi="宋体" w:cs="宋体"/>
                <w:color w:val="auto"/>
                <w:kern w:val="2"/>
                <w:sz w:val="21"/>
                <w:szCs w:val="21"/>
                <w:highlight w:val="none"/>
              </w:rPr>
            </w:pPr>
            <w:r>
              <w:rPr>
                <w:rFonts w:hint="eastAsia" w:hAnsi="宋体"/>
                <w:color w:val="auto"/>
                <w:sz w:val="21"/>
                <w:szCs w:val="21"/>
                <w:highlight w:val="none"/>
              </w:rPr>
              <w:t>供应商必须具有良好的商业信誉和健全的财务会计制度（提供2023年度财务状况报告或2024年任意1个月财务状况或基本开户行出具的资信证明或提供供应商资格声明函，格式可参考磋商文件第六篇）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32" w:type="pct"/>
            <w:vAlign w:val="center"/>
          </w:tcPr>
          <w:p>
            <w:pPr>
              <w:autoSpaceDE/>
              <w:autoSpaceDN/>
              <w:adjustRightInd/>
              <w:spacing w:line="42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4</w:t>
            </w:r>
          </w:p>
        </w:tc>
        <w:tc>
          <w:tcPr>
            <w:tcW w:w="1007" w:type="pct"/>
            <w:vAlign w:val="center"/>
          </w:tcPr>
          <w:p>
            <w:pPr>
              <w:autoSpaceDE/>
              <w:autoSpaceDN/>
              <w:adjustRightInd/>
              <w:spacing w:line="42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供应商必须符合法律、行政法规规定的其他条件</w:t>
            </w:r>
          </w:p>
        </w:tc>
        <w:tc>
          <w:tcPr>
            <w:tcW w:w="3559" w:type="pct"/>
            <w:vAlign w:val="center"/>
          </w:tcPr>
          <w:p>
            <w:pPr>
              <w:autoSpaceDE/>
              <w:autoSpaceDN/>
              <w:adjustRightInd/>
              <w:spacing w:line="420" w:lineRule="exact"/>
              <w:jc w:val="both"/>
              <w:rPr>
                <w:rFonts w:hAnsi="宋体" w:cs="宋体"/>
                <w:color w:val="auto"/>
                <w:kern w:val="2"/>
                <w:sz w:val="21"/>
                <w:szCs w:val="21"/>
                <w:highlight w:val="none"/>
              </w:rPr>
            </w:pPr>
            <w:r>
              <w:rPr>
                <w:rFonts w:hint="eastAsia" w:hAnsi="宋体" w:cs="宋体"/>
                <w:color w:val="auto"/>
                <w:kern w:val="2"/>
                <w:sz w:val="21"/>
                <w:szCs w:val="21"/>
                <w:highlight w:val="none"/>
              </w:rPr>
              <w:t>单位负责人为同一人或者存在直接控股、管理关系的不同供应商，不得同时参加本采购项目（或采购包）投标。为本项目提供整体设计、规范编制或者项目管理、监理、检测等服务的供应商，不得再参与本项目投标。参照投标（报价）函相关承诺格式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32" w:type="pct"/>
            <w:vAlign w:val="center"/>
          </w:tcPr>
          <w:p>
            <w:pPr>
              <w:autoSpaceDE/>
              <w:autoSpaceDN/>
              <w:adjustRightInd/>
              <w:spacing w:line="42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5</w:t>
            </w:r>
          </w:p>
        </w:tc>
        <w:tc>
          <w:tcPr>
            <w:tcW w:w="1007" w:type="pct"/>
            <w:vAlign w:val="center"/>
          </w:tcPr>
          <w:p>
            <w:pPr>
              <w:autoSpaceDE/>
              <w:autoSpaceDN/>
              <w:adjustRightInd/>
              <w:spacing w:line="42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履行合同所必需的设备和专业技术能力</w:t>
            </w:r>
          </w:p>
        </w:tc>
        <w:tc>
          <w:tcPr>
            <w:tcW w:w="3559" w:type="pct"/>
            <w:vAlign w:val="center"/>
          </w:tcPr>
          <w:p>
            <w:pPr>
              <w:spacing w:line="420" w:lineRule="exact"/>
              <w:rPr>
                <w:rFonts w:hAnsi="宋体" w:cs="宋体"/>
                <w:color w:val="auto"/>
                <w:kern w:val="2"/>
                <w:sz w:val="21"/>
                <w:szCs w:val="21"/>
                <w:highlight w:val="none"/>
              </w:rPr>
            </w:pPr>
            <w:r>
              <w:rPr>
                <w:rFonts w:hint="eastAsia" w:hAnsi="宋体"/>
                <w:color w:val="auto"/>
                <w:sz w:val="21"/>
                <w:szCs w:val="21"/>
                <w:highlight w:val="none"/>
              </w:rPr>
              <w:t>按投标（响应）文件格式填报设备及专业技术能力情况。(或提供供应商资格声明函，格式可参考磋商文件第六篇）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32" w:type="pct"/>
            <w:vAlign w:val="center"/>
          </w:tcPr>
          <w:p>
            <w:pPr>
              <w:autoSpaceDE/>
              <w:autoSpaceDN/>
              <w:adjustRightInd/>
              <w:spacing w:line="42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6</w:t>
            </w:r>
          </w:p>
        </w:tc>
        <w:tc>
          <w:tcPr>
            <w:tcW w:w="1007" w:type="pct"/>
            <w:vAlign w:val="center"/>
          </w:tcPr>
          <w:p>
            <w:pPr>
              <w:autoSpaceDE/>
              <w:autoSpaceDN/>
              <w:adjustRightInd/>
              <w:spacing w:line="42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参加采购活动前3年内，在经营活动中没有重大违法记录</w:t>
            </w:r>
          </w:p>
        </w:tc>
        <w:tc>
          <w:tcPr>
            <w:tcW w:w="3559" w:type="pct"/>
            <w:vAlign w:val="center"/>
          </w:tcPr>
          <w:p>
            <w:pPr>
              <w:autoSpaceDE/>
              <w:autoSpaceDN/>
              <w:adjustRightInd/>
              <w:spacing w:line="420" w:lineRule="exact"/>
              <w:jc w:val="both"/>
              <w:rPr>
                <w:rFonts w:hAnsi="宋体" w:cs="宋体"/>
                <w:color w:val="auto"/>
                <w:kern w:val="2"/>
                <w:sz w:val="21"/>
                <w:szCs w:val="21"/>
                <w:highlight w:val="none"/>
              </w:rPr>
            </w:pPr>
            <w:r>
              <w:rPr>
                <w:rFonts w:hint="eastAsia" w:hAnsi="宋体" w:cs="宋体"/>
                <w:color w:val="auto"/>
                <w:kern w:val="2"/>
                <w:sz w:val="21"/>
                <w:szCs w:val="21"/>
                <w:highlight w:val="none"/>
              </w:rPr>
              <w:t>参照投标（报价）函相关承诺格式内容。重大违法记录，是指供应商因违法经营受到刑事处罚或者责令停产停业、吊销许可证或者执照、较大数额罚款等行政处罚。（较大数额罚款按照发出行政处罚决定书部门所在省级政府，或实行垂直领导的国务院有关行政主管部门制定的较大数额罚款标准，或罚款决定之前需要举行听证会的金额标准来认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32" w:type="pct"/>
            <w:vAlign w:val="center"/>
          </w:tcPr>
          <w:p>
            <w:pPr>
              <w:autoSpaceDE/>
              <w:autoSpaceDN/>
              <w:adjustRightInd/>
              <w:spacing w:line="42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7</w:t>
            </w:r>
          </w:p>
        </w:tc>
        <w:tc>
          <w:tcPr>
            <w:tcW w:w="1007" w:type="pct"/>
            <w:vAlign w:val="center"/>
          </w:tcPr>
          <w:p>
            <w:pPr>
              <w:autoSpaceDE/>
              <w:autoSpaceDN/>
              <w:adjustRightInd/>
              <w:spacing w:line="42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信用记录</w:t>
            </w:r>
          </w:p>
        </w:tc>
        <w:tc>
          <w:tcPr>
            <w:tcW w:w="3559" w:type="pct"/>
            <w:vAlign w:val="center"/>
          </w:tcPr>
          <w:p>
            <w:pPr>
              <w:autoSpaceDE/>
              <w:autoSpaceDN/>
              <w:adjustRightInd/>
              <w:spacing w:line="420" w:lineRule="exact"/>
              <w:jc w:val="both"/>
              <w:rPr>
                <w:rFonts w:hAnsi="宋体" w:cs="宋体"/>
                <w:color w:val="auto"/>
                <w:kern w:val="2"/>
                <w:sz w:val="21"/>
                <w:szCs w:val="21"/>
                <w:highlight w:val="none"/>
              </w:rPr>
            </w:pPr>
            <w:r>
              <w:rPr>
                <w:rFonts w:hint="eastAsia" w:hAnsi="宋体" w:cs="宋体"/>
                <w:color w:val="auto"/>
                <w:kern w:val="2"/>
                <w:sz w:val="21"/>
                <w:szCs w:val="21"/>
                <w:highlight w:val="none"/>
              </w:rPr>
              <w:t>供应商未被列入“信用中国”网站(https://www.creditchina.gov.cn/)“记录失信被执行人或重大税收违法案件当事人名单”记录名单；不处于中国政府采购网(http://www.ccgp.gov.cn/)“政府采购严重违法失信行为信息记录”中的禁止参加政府采购活动期间。（以采购代理机构于投标（响应）截止时间当天在“信用中国”网站（https://www.creditchina.gov.cn/）及中国政府采购网（http://www.ccgp.gov.cn/）查询结果为准，如相关失信记录已失效，供应商需提供相关证明资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32" w:type="pct"/>
            <w:vAlign w:val="center"/>
          </w:tcPr>
          <w:p>
            <w:pPr>
              <w:autoSpaceDE/>
              <w:autoSpaceDN/>
              <w:adjustRightInd/>
              <w:spacing w:line="42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8</w:t>
            </w:r>
          </w:p>
        </w:tc>
        <w:tc>
          <w:tcPr>
            <w:tcW w:w="1007" w:type="pct"/>
            <w:vAlign w:val="center"/>
          </w:tcPr>
          <w:p>
            <w:pPr>
              <w:autoSpaceDE/>
              <w:autoSpaceDN/>
              <w:adjustRightInd/>
              <w:spacing w:line="420" w:lineRule="exact"/>
              <w:jc w:val="center"/>
              <w:rPr>
                <w:rFonts w:hAnsi="宋体" w:cs="宋体"/>
                <w:b/>
                <w:bCs/>
                <w:color w:val="auto"/>
                <w:kern w:val="2"/>
                <w:sz w:val="21"/>
                <w:szCs w:val="21"/>
                <w:highlight w:val="none"/>
              </w:rPr>
            </w:pPr>
            <w:r>
              <w:rPr>
                <w:rFonts w:hint="eastAsia" w:hAnsi="宋体" w:cs="宋体"/>
                <w:color w:val="auto"/>
                <w:kern w:val="2"/>
                <w:sz w:val="21"/>
                <w:szCs w:val="21"/>
                <w:highlight w:val="none"/>
              </w:rPr>
              <w:t>本项目的特定资格要求</w:t>
            </w:r>
          </w:p>
        </w:tc>
        <w:tc>
          <w:tcPr>
            <w:tcW w:w="3559" w:type="pct"/>
            <w:vAlign w:val="center"/>
          </w:tcPr>
          <w:p>
            <w:pPr>
              <w:spacing w:line="420" w:lineRule="exact"/>
              <w:rPr>
                <w:rFonts w:hAnsi="宋体" w:cs="宋体"/>
                <w:b/>
                <w:bCs/>
                <w:color w:val="auto"/>
                <w:sz w:val="21"/>
                <w:szCs w:val="21"/>
                <w:highlight w:val="none"/>
              </w:rPr>
            </w:pPr>
            <w:r>
              <w:rPr>
                <w:rFonts w:hint="eastAsia" w:hAnsi="宋体"/>
                <w:b/>
                <w:bCs/>
                <w:color w:val="auto"/>
                <w:sz w:val="21"/>
                <w:szCs w:val="21"/>
                <w:highlight w:val="none"/>
              </w:rPr>
              <w:t>供应商须具备行政主管部门颁发的城市（乡）规划编制乙级或以上资质。提供资质证书复印件并加盖公章</w:t>
            </w:r>
            <w:r>
              <w:rPr>
                <w:rFonts w:hint="eastAsia" w:hAnsi="宋体"/>
                <w:b/>
                <w:bCs/>
                <w:color w:val="auto"/>
                <w:sz w:val="21"/>
                <w:szCs w:val="21"/>
                <w:highlight w:val="none"/>
                <w:lang w:eastAsia="zh-CN"/>
              </w:rPr>
              <w:t>。</w:t>
            </w:r>
            <w:r>
              <w:rPr>
                <w:rFonts w:hint="eastAsia" w:hAnsi="宋体"/>
                <w:b/>
                <w:bCs/>
                <w:color w:val="auto"/>
                <w:sz w:val="21"/>
                <w:szCs w:val="21"/>
                <w:highlight w:val="none"/>
              </w:rPr>
              <w:t>如联合体</w:t>
            </w:r>
            <w:r>
              <w:rPr>
                <w:rFonts w:hint="eastAsia" w:hAnsi="宋体"/>
                <w:b/>
                <w:bCs/>
                <w:color w:val="auto"/>
                <w:sz w:val="21"/>
                <w:szCs w:val="21"/>
                <w:highlight w:val="none"/>
                <w:lang w:val="en-US" w:eastAsia="zh-CN"/>
              </w:rPr>
              <w:t>投标</w:t>
            </w:r>
            <w:r>
              <w:rPr>
                <w:rFonts w:hint="eastAsia" w:hAnsi="宋体"/>
                <w:b/>
                <w:bCs/>
                <w:color w:val="auto"/>
                <w:sz w:val="21"/>
                <w:szCs w:val="21"/>
                <w:highlight w:val="none"/>
              </w:rPr>
              <w:t>，则</w:t>
            </w:r>
            <w:r>
              <w:rPr>
                <w:rFonts w:hint="eastAsia" w:hAnsi="宋体"/>
                <w:b/>
                <w:bCs/>
                <w:color w:val="auto"/>
                <w:sz w:val="21"/>
                <w:szCs w:val="21"/>
                <w:highlight w:val="none"/>
                <w:lang w:val="en-US" w:eastAsia="zh-CN"/>
              </w:rPr>
              <w:t>参与联合体的各</w:t>
            </w:r>
            <w:r>
              <w:rPr>
                <w:rFonts w:hint="eastAsia" w:hAnsi="宋体"/>
                <w:b/>
                <w:bCs/>
                <w:color w:val="auto"/>
                <w:sz w:val="21"/>
                <w:szCs w:val="21"/>
                <w:highlight w:val="none"/>
              </w:rPr>
              <w:t>方</w:t>
            </w:r>
            <w:r>
              <w:rPr>
                <w:rFonts w:hint="eastAsia" w:hAnsi="宋体"/>
                <w:b/>
                <w:bCs/>
                <w:color w:val="auto"/>
                <w:sz w:val="21"/>
                <w:szCs w:val="21"/>
                <w:highlight w:val="none"/>
                <w:lang w:val="en-US" w:eastAsia="zh-CN"/>
              </w:rPr>
              <w:t>都</w:t>
            </w:r>
            <w:r>
              <w:rPr>
                <w:rFonts w:hint="eastAsia" w:hAnsi="宋体"/>
                <w:b/>
                <w:bCs/>
                <w:color w:val="auto"/>
                <w:sz w:val="21"/>
                <w:szCs w:val="21"/>
                <w:highlight w:val="none"/>
              </w:rPr>
              <w:t>须具备该资质证书</w:t>
            </w:r>
            <w:r>
              <w:rPr>
                <w:rFonts w:hint="eastAsia" w:hAnsi="宋体"/>
                <w:b/>
                <w:bCs/>
                <w:color w:val="auto"/>
                <w:sz w:val="21"/>
                <w:szCs w:val="21"/>
                <w:highlight w:val="none"/>
                <w:lang w:eastAsia="zh-CN"/>
              </w:rPr>
              <w:t>，</w:t>
            </w:r>
            <w:r>
              <w:rPr>
                <w:rFonts w:hint="eastAsia" w:hAnsi="宋体"/>
                <w:b/>
                <w:bCs/>
                <w:color w:val="auto"/>
                <w:sz w:val="21"/>
                <w:szCs w:val="21"/>
                <w:highlight w:val="none"/>
                <w:lang w:val="en-US" w:eastAsia="zh-CN"/>
              </w:rPr>
              <w:t>并</w:t>
            </w:r>
            <w:r>
              <w:rPr>
                <w:rFonts w:hint="eastAsia" w:hAnsi="宋体" w:cs="Times New Roman"/>
                <w:b/>
                <w:bCs/>
                <w:color w:val="auto"/>
                <w:sz w:val="21"/>
                <w:szCs w:val="21"/>
                <w:highlight w:val="none"/>
              </w:rPr>
              <w:t>提供《联合体共同响应协议书》</w:t>
            </w:r>
            <w:r>
              <w:rPr>
                <w:rFonts w:hint="eastAsia" w:ascii="宋体" w:hAnsi="宋体" w:eastAsia="宋体" w:cs="Times New Roman"/>
                <w:b/>
                <w:bCs/>
                <w:i w:val="0"/>
                <w:iCs w:val="0"/>
                <w:caps w:val="0"/>
                <w:color w:val="auto"/>
                <w:spacing w:val="0"/>
                <w:sz w:val="21"/>
                <w:szCs w:val="21"/>
                <w:highlight w:val="none"/>
                <w:shd w:val="clear"/>
              </w:rPr>
              <w:t>，明确分工</w:t>
            </w:r>
            <w:r>
              <w:rPr>
                <w:rFonts w:hint="eastAsia" w:hAnsi="宋体"/>
                <w:b/>
                <w:bCs/>
                <w:color w:val="auto"/>
                <w:sz w:val="21"/>
                <w:szCs w:val="21"/>
                <w:highlight w:val="none"/>
              </w:rPr>
              <w:t>。联合体中有同类资质的企业按照《联合体共同投标协议书》分工承担相同工作的，应当按照资质等级较低的企业确定联合体资质等级</w:t>
            </w:r>
            <w:r>
              <w:rPr>
                <w:rFonts w:hint="eastAsia" w:hAnsi="宋体"/>
                <w:b/>
                <w:bCs/>
                <w:color w:val="auto"/>
                <w:sz w:val="21"/>
                <w:szCs w:val="21"/>
                <w:highlight w:val="none"/>
                <w:lang w:eastAsia="zh-CN"/>
              </w:rPr>
              <w:t>。</w:t>
            </w:r>
            <w:r>
              <w:rPr>
                <w:rFonts w:hint="eastAsia" w:hAnsi="宋体"/>
                <w:b/>
                <w:bCs/>
                <w:color w:val="auto"/>
                <w:sz w:val="21"/>
                <w:szCs w:val="21"/>
                <w:highlight w:val="none"/>
              </w:rPr>
              <w:t>注：由于国务院组成部门调整，各省市政府职能部门相应调整，国家及各省市受理城乡规划编制资质申报部门尚未明确，因此均暂停受理城乡规划编制资质申报事项，暂不对城乡规划编制资质有效期限作出要求。如相关主管部门有最新政策，按最新政策执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32" w:type="pct"/>
            <w:vAlign w:val="center"/>
          </w:tcPr>
          <w:p>
            <w:pPr>
              <w:autoSpaceDE/>
              <w:autoSpaceDN/>
              <w:adjustRightInd/>
              <w:spacing w:line="42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9</w:t>
            </w:r>
          </w:p>
        </w:tc>
        <w:tc>
          <w:tcPr>
            <w:tcW w:w="1007" w:type="pct"/>
            <w:vAlign w:val="center"/>
          </w:tcPr>
          <w:p>
            <w:pPr>
              <w:autoSpaceDE/>
              <w:autoSpaceDN/>
              <w:adjustRightInd/>
              <w:spacing w:line="42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联合体投标要求</w:t>
            </w:r>
          </w:p>
        </w:tc>
        <w:tc>
          <w:tcPr>
            <w:tcW w:w="3559" w:type="pct"/>
            <w:vAlign w:val="center"/>
          </w:tcPr>
          <w:p>
            <w:pPr>
              <w:spacing w:line="420" w:lineRule="exact"/>
              <w:rPr>
                <w:rFonts w:hAnsi="宋体" w:cs="宋体"/>
                <w:color w:val="auto"/>
                <w:sz w:val="21"/>
                <w:szCs w:val="21"/>
                <w:highlight w:val="none"/>
              </w:rPr>
            </w:pPr>
            <w:r>
              <w:rPr>
                <w:rFonts w:hint="eastAsia" w:hAnsi="宋体" w:cs="宋体"/>
                <w:color w:val="auto"/>
                <w:sz w:val="21"/>
                <w:szCs w:val="21"/>
                <w:highlight w:val="none"/>
              </w:rPr>
              <w:t>联合体投标的，须提供《联合体共同响应协议书》。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0" w:hRule="atLeast"/>
        </w:trPr>
        <w:tc>
          <w:tcPr>
            <w:tcW w:w="432" w:type="pct"/>
            <w:vAlign w:val="center"/>
          </w:tcPr>
          <w:p>
            <w:pPr>
              <w:autoSpaceDE/>
              <w:autoSpaceDN/>
              <w:adjustRightInd/>
              <w:spacing w:line="42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10</w:t>
            </w:r>
          </w:p>
        </w:tc>
        <w:tc>
          <w:tcPr>
            <w:tcW w:w="1007" w:type="pct"/>
            <w:vAlign w:val="center"/>
          </w:tcPr>
          <w:p>
            <w:pPr>
              <w:autoSpaceDE/>
              <w:autoSpaceDN/>
              <w:adjustRightInd/>
              <w:spacing w:line="42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落实政府采购政策需满足的资格要求</w:t>
            </w:r>
          </w:p>
        </w:tc>
        <w:tc>
          <w:tcPr>
            <w:tcW w:w="3559" w:type="pct"/>
            <w:vAlign w:val="center"/>
          </w:tcPr>
          <w:p>
            <w:pPr>
              <w:autoSpaceDE/>
              <w:autoSpaceDN/>
              <w:adjustRightInd/>
              <w:spacing w:line="420" w:lineRule="exact"/>
              <w:jc w:val="both"/>
              <w:rPr>
                <w:rFonts w:hAnsi="宋体" w:cs="宋体"/>
                <w:color w:val="auto"/>
                <w:kern w:val="2"/>
                <w:sz w:val="21"/>
                <w:szCs w:val="21"/>
                <w:highlight w:val="none"/>
              </w:rPr>
            </w:pPr>
            <w:r>
              <w:rPr>
                <w:rFonts w:hint="eastAsia" w:hAnsi="宋体" w:cs="宋体"/>
                <w:color w:val="auto"/>
                <w:kern w:val="2"/>
                <w:sz w:val="21"/>
                <w:szCs w:val="21"/>
                <w:highlight w:val="none"/>
              </w:rPr>
              <w:t>本项目非专门面向中小企业采购的项目，本项目的企业划分标准所属行业为：其他未列明行业。</w:t>
            </w:r>
          </w:p>
        </w:tc>
      </w:tr>
    </w:tbl>
    <w:p>
      <w:pPr>
        <w:pStyle w:val="71"/>
        <w:spacing w:line="360" w:lineRule="auto"/>
        <w:ind w:firstLine="0" w:firstLineChars="0"/>
        <w:rPr>
          <w:rFonts w:ascii="宋体" w:eastAsia="宋体"/>
          <w:b/>
          <w:color w:val="auto"/>
          <w:kern w:val="0"/>
          <w:sz w:val="21"/>
          <w:szCs w:val="21"/>
          <w:highlight w:val="none"/>
        </w:rPr>
      </w:pPr>
    </w:p>
    <w:p>
      <w:pPr>
        <w:snapToGrid w:val="0"/>
        <w:spacing w:line="360" w:lineRule="auto"/>
        <w:ind w:firstLine="422" w:firstLineChars="200"/>
        <w:rPr>
          <w:rFonts w:hAnsi="宋体"/>
          <w:b/>
          <w:color w:val="auto"/>
          <w:sz w:val="21"/>
          <w:szCs w:val="21"/>
          <w:highlight w:val="none"/>
        </w:rPr>
      </w:pPr>
      <w:r>
        <w:rPr>
          <w:rFonts w:hint="eastAsia" w:hAnsi="宋体"/>
          <w:b/>
          <w:color w:val="auto"/>
          <w:sz w:val="21"/>
          <w:szCs w:val="21"/>
          <w:highlight w:val="none"/>
        </w:rPr>
        <w:t>2、符合性审查</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rPr>
        <w:t>2.1 磋商小组将对符合资格的供应商的响应文件进行符合性审查，以确定其是否满足磋商文件的实质性要求。</w:t>
      </w:r>
    </w:p>
    <w:p>
      <w:pPr>
        <w:snapToGrid w:val="0"/>
        <w:spacing w:line="360" w:lineRule="auto"/>
        <w:ind w:firstLine="422" w:firstLineChars="200"/>
        <w:rPr>
          <w:rFonts w:hAnsi="宋体"/>
          <w:b/>
          <w:color w:val="auto"/>
          <w:sz w:val="21"/>
          <w:szCs w:val="21"/>
          <w:highlight w:val="none"/>
        </w:rPr>
      </w:pPr>
      <w:r>
        <w:rPr>
          <w:rFonts w:hint="eastAsia" w:hAnsi="宋体"/>
          <w:b/>
          <w:color w:val="auto"/>
          <w:sz w:val="21"/>
          <w:szCs w:val="21"/>
          <w:highlight w:val="none"/>
        </w:rPr>
        <w:t xml:space="preserve">2.2 符合性审查表: </w:t>
      </w:r>
    </w:p>
    <w:tbl>
      <w:tblPr>
        <w:tblStyle w:val="48"/>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88"/>
        <w:gridCol w:w="4017"/>
        <w:gridCol w:w="40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7" w:type="pct"/>
            <w:vAlign w:val="center"/>
          </w:tcPr>
          <w:p>
            <w:pPr>
              <w:autoSpaceDE/>
              <w:autoSpaceDN/>
              <w:adjustRightInd/>
              <w:spacing w:line="360" w:lineRule="exact"/>
              <w:jc w:val="center"/>
              <w:rPr>
                <w:rFonts w:hAnsi="宋体" w:cs="宋体"/>
                <w:b/>
                <w:color w:val="auto"/>
                <w:sz w:val="21"/>
                <w:szCs w:val="21"/>
                <w:highlight w:val="none"/>
              </w:rPr>
            </w:pPr>
            <w:r>
              <w:rPr>
                <w:rFonts w:hint="eastAsia" w:hAnsi="宋体" w:cs="宋体"/>
                <w:b/>
                <w:color w:val="auto"/>
                <w:sz w:val="21"/>
                <w:szCs w:val="21"/>
                <w:highlight w:val="none"/>
              </w:rPr>
              <w:t>序号</w:t>
            </w:r>
          </w:p>
        </w:tc>
        <w:tc>
          <w:tcPr>
            <w:tcW w:w="2356" w:type="pct"/>
            <w:vAlign w:val="center"/>
          </w:tcPr>
          <w:p>
            <w:pPr>
              <w:autoSpaceDE/>
              <w:autoSpaceDN/>
              <w:adjustRightInd/>
              <w:spacing w:line="360" w:lineRule="exact"/>
              <w:jc w:val="center"/>
              <w:rPr>
                <w:rFonts w:hAnsi="宋体" w:cs="宋体"/>
                <w:b/>
                <w:color w:val="auto"/>
                <w:sz w:val="21"/>
                <w:szCs w:val="21"/>
                <w:highlight w:val="none"/>
              </w:rPr>
            </w:pPr>
            <w:r>
              <w:rPr>
                <w:rFonts w:hint="eastAsia" w:hAnsi="宋体" w:cs="宋体"/>
                <w:b/>
                <w:color w:val="auto"/>
                <w:sz w:val="21"/>
                <w:szCs w:val="21"/>
                <w:highlight w:val="none"/>
              </w:rPr>
              <w:t>评审点要求概况</w:t>
            </w:r>
          </w:p>
        </w:tc>
        <w:tc>
          <w:tcPr>
            <w:tcW w:w="2356" w:type="pct"/>
            <w:vAlign w:val="center"/>
          </w:tcPr>
          <w:p>
            <w:pPr>
              <w:autoSpaceDE/>
              <w:autoSpaceDN/>
              <w:adjustRightInd/>
              <w:spacing w:line="360" w:lineRule="exact"/>
              <w:jc w:val="center"/>
              <w:rPr>
                <w:rFonts w:hAnsi="宋体" w:cs="宋体"/>
                <w:b/>
                <w:color w:val="auto"/>
                <w:sz w:val="21"/>
                <w:szCs w:val="21"/>
                <w:highlight w:val="none"/>
              </w:rPr>
            </w:pPr>
            <w:r>
              <w:rPr>
                <w:rFonts w:hint="eastAsia" w:hAnsi="宋体" w:cs="宋体"/>
                <w:b/>
                <w:color w:val="auto"/>
                <w:sz w:val="21"/>
                <w:szCs w:val="21"/>
                <w:highlight w:val="none"/>
              </w:rPr>
              <w:t>评审点具体描述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7" w:type="pct"/>
            <w:vAlign w:val="center"/>
          </w:tcPr>
          <w:p>
            <w:pPr>
              <w:autoSpaceDE/>
              <w:autoSpaceDN/>
              <w:adjustRightInd/>
              <w:spacing w:line="40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1</w:t>
            </w:r>
          </w:p>
        </w:tc>
        <w:tc>
          <w:tcPr>
            <w:tcW w:w="2356" w:type="pct"/>
            <w:vAlign w:val="center"/>
          </w:tcPr>
          <w:p>
            <w:pPr>
              <w:autoSpaceDE/>
              <w:autoSpaceDN/>
              <w:adjustRightInd/>
              <w:spacing w:line="400" w:lineRule="exact"/>
              <w:rPr>
                <w:rFonts w:hAnsi="宋体" w:cs="宋体"/>
                <w:color w:val="auto"/>
                <w:kern w:val="2"/>
                <w:sz w:val="21"/>
                <w:szCs w:val="21"/>
                <w:highlight w:val="none"/>
              </w:rPr>
            </w:pPr>
            <w:r>
              <w:rPr>
                <w:rFonts w:hint="eastAsia" w:hAnsi="宋体" w:cs="宋体"/>
                <w:color w:val="auto"/>
                <w:kern w:val="2"/>
                <w:sz w:val="21"/>
                <w:szCs w:val="21"/>
                <w:highlight w:val="none"/>
              </w:rPr>
              <w:t>合格的投标保证金（本项目不收取保证金）</w:t>
            </w:r>
          </w:p>
        </w:tc>
        <w:tc>
          <w:tcPr>
            <w:tcW w:w="2356" w:type="pct"/>
            <w:vAlign w:val="center"/>
          </w:tcPr>
          <w:p>
            <w:pPr>
              <w:autoSpaceDE/>
              <w:autoSpaceDN/>
              <w:adjustRightInd/>
              <w:spacing w:line="400" w:lineRule="exact"/>
              <w:rPr>
                <w:rFonts w:hAnsi="宋体" w:cs="宋体"/>
                <w:color w:val="auto"/>
                <w:kern w:val="2"/>
                <w:sz w:val="21"/>
                <w:szCs w:val="21"/>
                <w:highlight w:val="none"/>
              </w:rPr>
            </w:pPr>
            <w:r>
              <w:rPr>
                <w:rFonts w:hint="eastAsia" w:hAnsi="宋体" w:cs="宋体"/>
                <w:color w:val="auto"/>
                <w:kern w:val="2"/>
                <w:sz w:val="21"/>
                <w:szCs w:val="21"/>
                <w:highlight w:val="none"/>
              </w:rPr>
              <w:t>合格的投标保证金（本项目不收取保证金）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7" w:type="pct"/>
            <w:vAlign w:val="center"/>
          </w:tcPr>
          <w:p>
            <w:pPr>
              <w:autoSpaceDE/>
              <w:autoSpaceDN/>
              <w:adjustRightInd/>
              <w:spacing w:line="40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2</w:t>
            </w:r>
          </w:p>
        </w:tc>
        <w:tc>
          <w:tcPr>
            <w:tcW w:w="2356" w:type="pct"/>
            <w:vAlign w:val="center"/>
          </w:tcPr>
          <w:p>
            <w:pPr>
              <w:autoSpaceDE/>
              <w:autoSpaceDN/>
              <w:adjustRightInd/>
              <w:spacing w:line="400" w:lineRule="exact"/>
              <w:rPr>
                <w:rFonts w:hAnsi="宋体" w:cs="宋体"/>
                <w:color w:val="auto"/>
                <w:kern w:val="2"/>
                <w:sz w:val="21"/>
                <w:szCs w:val="21"/>
                <w:highlight w:val="none"/>
              </w:rPr>
            </w:pPr>
            <w:r>
              <w:rPr>
                <w:rFonts w:hint="eastAsia" w:hAnsi="宋体" w:cs="宋体"/>
                <w:color w:val="auto"/>
                <w:kern w:val="2"/>
                <w:sz w:val="21"/>
                <w:szCs w:val="21"/>
                <w:highlight w:val="none"/>
              </w:rPr>
              <w:t>首次及最终报价均未超过磋商文件中规定的预算金额或者最高限价</w:t>
            </w:r>
          </w:p>
        </w:tc>
        <w:tc>
          <w:tcPr>
            <w:tcW w:w="2356" w:type="pct"/>
            <w:vAlign w:val="center"/>
          </w:tcPr>
          <w:p>
            <w:pPr>
              <w:autoSpaceDE/>
              <w:autoSpaceDN/>
              <w:adjustRightInd/>
              <w:spacing w:line="400" w:lineRule="exact"/>
              <w:rPr>
                <w:rFonts w:hAnsi="宋体" w:cs="宋体"/>
                <w:color w:val="auto"/>
                <w:kern w:val="2"/>
                <w:sz w:val="21"/>
                <w:szCs w:val="21"/>
                <w:highlight w:val="none"/>
              </w:rPr>
            </w:pPr>
            <w:r>
              <w:rPr>
                <w:rFonts w:hint="eastAsia" w:hAnsi="宋体" w:cs="宋体"/>
                <w:color w:val="auto"/>
                <w:kern w:val="2"/>
                <w:sz w:val="21"/>
                <w:szCs w:val="21"/>
                <w:highlight w:val="none"/>
              </w:rPr>
              <w:t>首次及最终报价均未超过磋商文件中规定的预算金额或者最高限价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7" w:type="pct"/>
            <w:vAlign w:val="center"/>
          </w:tcPr>
          <w:p>
            <w:pPr>
              <w:autoSpaceDE/>
              <w:autoSpaceDN/>
              <w:adjustRightInd/>
              <w:spacing w:line="40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3</w:t>
            </w:r>
          </w:p>
        </w:tc>
        <w:tc>
          <w:tcPr>
            <w:tcW w:w="2356" w:type="pct"/>
            <w:vAlign w:val="center"/>
          </w:tcPr>
          <w:p>
            <w:pPr>
              <w:autoSpaceDE/>
              <w:autoSpaceDN/>
              <w:adjustRightInd/>
              <w:spacing w:line="400" w:lineRule="exact"/>
              <w:rPr>
                <w:rFonts w:hAnsi="宋体" w:cs="宋体"/>
                <w:color w:val="auto"/>
                <w:kern w:val="2"/>
                <w:sz w:val="21"/>
                <w:szCs w:val="21"/>
                <w:highlight w:val="none"/>
              </w:rPr>
            </w:pPr>
            <w:r>
              <w:rPr>
                <w:rFonts w:hint="eastAsia" w:hAnsi="宋体" w:cs="宋体"/>
                <w:color w:val="auto"/>
                <w:kern w:val="2"/>
                <w:sz w:val="21"/>
                <w:szCs w:val="21"/>
                <w:highlight w:val="none"/>
              </w:rPr>
              <w:t>法人授权委托证明。</w:t>
            </w:r>
          </w:p>
          <w:p>
            <w:pPr>
              <w:autoSpaceDE/>
              <w:autoSpaceDN/>
              <w:adjustRightInd/>
              <w:spacing w:line="400" w:lineRule="exact"/>
              <w:rPr>
                <w:rFonts w:hAnsi="宋体" w:cs="宋体"/>
                <w:color w:val="auto"/>
                <w:kern w:val="2"/>
                <w:sz w:val="21"/>
                <w:szCs w:val="21"/>
                <w:highlight w:val="none"/>
              </w:rPr>
            </w:pPr>
            <w:r>
              <w:rPr>
                <w:rFonts w:hint="eastAsia" w:hAnsi="宋体" w:cs="宋体"/>
                <w:color w:val="auto"/>
                <w:kern w:val="2"/>
                <w:sz w:val="21"/>
                <w:szCs w:val="21"/>
                <w:highlight w:val="none"/>
              </w:rPr>
              <w:t>(供应商代表为法定代表人的除外)</w:t>
            </w:r>
          </w:p>
        </w:tc>
        <w:tc>
          <w:tcPr>
            <w:tcW w:w="2356" w:type="pct"/>
            <w:vAlign w:val="center"/>
          </w:tcPr>
          <w:p>
            <w:pPr>
              <w:autoSpaceDE/>
              <w:autoSpaceDN/>
              <w:adjustRightInd/>
              <w:spacing w:line="400" w:lineRule="exact"/>
              <w:rPr>
                <w:rFonts w:hAnsi="宋体" w:cs="宋体"/>
                <w:color w:val="auto"/>
                <w:kern w:val="2"/>
                <w:sz w:val="21"/>
                <w:szCs w:val="21"/>
                <w:highlight w:val="none"/>
              </w:rPr>
            </w:pPr>
            <w:r>
              <w:rPr>
                <w:rFonts w:hint="eastAsia" w:hAnsi="宋体" w:cs="宋体"/>
                <w:color w:val="auto"/>
                <w:kern w:val="2"/>
                <w:sz w:val="21"/>
                <w:szCs w:val="21"/>
                <w:highlight w:val="none"/>
              </w:rPr>
              <w:t>法人授权委托证明。</w:t>
            </w:r>
          </w:p>
          <w:p>
            <w:pPr>
              <w:autoSpaceDE/>
              <w:autoSpaceDN/>
              <w:adjustRightInd/>
              <w:spacing w:line="400" w:lineRule="exact"/>
              <w:rPr>
                <w:rFonts w:hAnsi="宋体" w:cs="宋体"/>
                <w:color w:val="auto"/>
                <w:kern w:val="2"/>
                <w:sz w:val="21"/>
                <w:szCs w:val="21"/>
                <w:highlight w:val="none"/>
              </w:rPr>
            </w:pPr>
            <w:r>
              <w:rPr>
                <w:rFonts w:hint="eastAsia" w:hAnsi="宋体" w:cs="宋体"/>
                <w:color w:val="auto"/>
                <w:kern w:val="2"/>
                <w:sz w:val="21"/>
                <w:szCs w:val="21"/>
                <w:highlight w:val="none"/>
              </w:rPr>
              <w:t>(供应商代表为法定代表人的除外)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7" w:type="pct"/>
            <w:vAlign w:val="center"/>
          </w:tcPr>
          <w:p>
            <w:pPr>
              <w:autoSpaceDE/>
              <w:autoSpaceDN/>
              <w:adjustRightInd/>
              <w:spacing w:line="40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4</w:t>
            </w:r>
          </w:p>
        </w:tc>
        <w:tc>
          <w:tcPr>
            <w:tcW w:w="2356" w:type="pct"/>
            <w:vAlign w:val="center"/>
          </w:tcPr>
          <w:p>
            <w:pPr>
              <w:autoSpaceDE/>
              <w:autoSpaceDN/>
              <w:adjustRightInd/>
              <w:spacing w:line="400" w:lineRule="exact"/>
              <w:rPr>
                <w:rFonts w:hAnsi="宋体" w:cs="宋体"/>
                <w:color w:val="auto"/>
                <w:kern w:val="2"/>
                <w:sz w:val="21"/>
                <w:szCs w:val="21"/>
                <w:highlight w:val="none"/>
              </w:rPr>
            </w:pPr>
            <w:r>
              <w:rPr>
                <w:rFonts w:hint="eastAsia" w:hAnsi="宋体" w:cs="宋体"/>
                <w:color w:val="auto"/>
                <w:kern w:val="2"/>
                <w:sz w:val="21"/>
                <w:szCs w:val="21"/>
                <w:highlight w:val="none"/>
              </w:rPr>
              <w:t>投标函已提交并符合磋商文件要求的，且投标有效期不少于磋商文件中载明的投标有效期。</w:t>
            </w:r>
          </w:p>
        </w:tc>
        <w:tc>
          <w:tcPr>
            <w:tcW w:w="2356" w:type="pct"/>
            <w:vAlign w:val="center"/>
          </w:tcPr>
          <w:p>
            <w:pPr>
              <w:autoSpaceDE/>
              <w:autoSpaceDN/>
              <w:adjustRightInd/>
              <w:spacing w:line="400" w:lineRule="exact"/>
              <w:rPr>
                <w:rFonts w:hAnsi="宋体" w:cs="宋体"/>
                <w:color w:val="auto"/>
                <w:kern w:val="2"/>
                <w:sz w:val="21"/>
                <w:szCs w:val="21"/>
                <w:highlight w:val="none"/>
              </w:rPr>
            </w:pPr>
            <w:r>
              <w:rPr>
                <w:rFonts w:hint="eastAsia" w:hAnsi="宋体" w:cs="宋体"/>
                <w:color w:val="auto"/>
                <w:kern w:val="2"/>
                <w:sz w:val="21"/>
                <w:szCs w:val="21"/>
                <w:highlight w:val="none"/>
              </w:rPr>
              <w:t>投标函已提交并符合磋商文件要求的，且投标有效期不少于磋商文件中载明的投标有效期。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7" w:type="pct"/>
            <w:vAlign w:val="center"/>
          </w:tcPr>
          <w:p>
            <w:pPr>
              <w:autoSpaceDE/>
              <w:autoSpaceDN/>
              <w:adjustRightInd/>
              <w:spacing w:line="40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5</w:t>
            </w:r>
          </w:p>
        </w:tc>
        <w:tc>
          <w:tcPr>
            <w:tcW w:w="2356" w:type="pct"/>
            <w:vAlign w:val="center"/>
          </w:tcPr>
          <w:p>
            <w:pPr>
              <w:autoSpaceDE/>
              <w:autoSpaceDN/>
              <w:adjustRightInd/>
              <w:spacing w:line="400" w:lineRule="exact"/>
              <w:rPr>
                <w:rFonts w:hAnsi="宋体" w:cs="宋体"/>
                <w:color w:val="auto"/>
                <w:kern w:val="2"/>
                <w:sz w:val="21"/>
                <w:szCs w:val="21"/>
                <w:highlight w:val="none"/>
              </w:rPr>
            </w:pPr>
            <w:r>
              <w:rPr>
                <w:rFonts w:hint="eastAsia" w:hAnsi="宋体" w:cs="宋体"/>
                <w:color w:val="auto"/>
                <w:kern w:val="2"/>
                <w:sz w:val="21"/>
                <w:szCs w:val="21"/>
                <w:highlight w:val="none"/>
              </w:rPr>
              <w:t>响应文件的式样、签署、盖章符合磋商文件要求。</w:t>
            </w:r>
          </w:p>
        </w:tc>
        <w:tc>
          <w:tcPr>
            <w:tcW w:w="2356" w:type="pct"/>
            <w:vAlign w:val="center"/>
          </w:tcPr>
          <w:p>
            <w:pPr>
              <w:autoSpaceDE/>
              <w:autoSpaceDN/>
              <w:adjustRightInd/>
              <w:spacing w:line="400" w:lineRule="exact"/>
              <w:rPr>
                <w:rFonts w:hAnsi="宋体" w:cs="宋体"/>
                <w:color w:val="auto"/>
                <w:kern w:val="2"/>
                <w:sz w:val="21"/>
                <w:szCs w:val="21"/>
                <w:highlight w:val="none"/>
              </w:rPr>
            </w:pPr>
            <w:r>
              <w:rPr>
                <w:rFonts w:hint="eastAsia" w:hAnsi="宋体" w:cs="宋体"/>
                <w:color w:val="auto"/>
                <w:kern w:val="2"/>
                <w:sz w:val="21"/>
                <w:szCs w:val="21"/>
                <w:highlight w:val="none"/>
              </w:rPr>
              <w:t>响应文件的式样、签署、盖章符合磋商文件要求。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4" w:hRule="atLeast"/>
        </w:trPr>
        <w:tc>
          <w:tcPr>
            <w:tcW w:w="287" w:type="pct"/>
            <w:vAlign w:val="center"/>
          </w:tcPr>
          <w:p>
            <w:pPr>
              <w:autoSpaceDE/>
              <w:autoSpaceDN/>
              <w:adjustRightInd/>
              <w:spacing w:line="40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6</w:t>
            </w:r>
          </w:p>
        </w:tc>
        <w:tc>
          <w:tcPr>
            <w:tcW w:w="2356" w:type="pct"/>
            <w:vAlign w:val="center"/>
          </w:tcPr>
          <w:p>
            <w:pPr>
              <w:autoSpaceDE/>
              <w:autoSpaceDN/>
              <w:adjustRightInd/>
              <w:spacing w:line="400" w:lineRule="exact"/>
              <w:rPr>
                <w:rFonts w:hAnsi="宋体" w:cs="宋体"/>
                <w:color w:val="auto"/>
                <w:kern w:val="2"/>
                <w:sz w:val="21"/>
                <w:szCs w:val="21"/>
                <w:highlight w:val="none"/>
              </w:rPr>
            </w:pPr>
            <w:r>
              <w:rPr>
                <w:rFonts w:hint="eastAsia" w:hAnsi="宋体" w:cs="宋体"/>
                <w:color w:val="auto"/>
                <w:kern w:val="2"/>
                <w:sz w:val="21"/>
                <w:szCs w:val="21"/>
                <w:highlight w:val="none"/>
              </w:rPr>
              <w:t>采购需求当中的★条款满足要求。</w:t>
            </w:r>
          </w:p>
          <w:p>
            <w:pPr>
              <w:autoSpaceDE/>
              <w:autoSpaceDN/>
              <w:adjustRightInd/>
              <w:spacing w:line="400" w:lineRule="exact"/>
              <w:rPr>
                <w:rFonts w:hAnsi="宋体" w:cs="宋体"/>
                <w:color w:val="auto"/>
                <w:kern w:val="2"/>
                <w:sz w:val="21"/>
                <w:szCs w:val="21"/>
                <w:highlight w:val="none"/>
              </w:rPr>
            </w:pPr>
            <w:r>
              <w:rPr>
                <w:rFonts w:hint="eastAsia" w:hAnsi="宋体" w:cs="宋体"/>
                <w:color w:val="auto"/>
                <w:kern w:val="2"/>
                <w:sz w:val="21"/>
                <w:szCs w:val="21"/>
                <w:highlight w:val="none"/>
              </w:rPr>
              <w:t>(若本项目无★条款，此项通过)</w:t>
            </w:r>
          </w:p>
        </w:tc>
        <w:tc>
          <w:tcPr>
            <w:tcW w:w="2356" w:type="pct"/>
            <w:vAlign w:val="center"/>
          </w:tcPr>
          <w:p>
            <w:pPr>
              <w:autoSpaceDE/>
              <w:autoSpaceDN/>
              <w:adjustRightInd/>
              <w:spacing w:line="400" w:lineRule="exact"/>
              <w:rPr>
                <w:rFonts w:hAnsi="宋体" w:cs="宋体"/>
                <w:color w:val="auto"/>
                <w:kern w:val="2"/>
                <w:sz w:val="21"/>
                <w:szCs w:val="21"/>
                <w:highlight w:val="none"/>
              </w:rPr>
            </w:pPr>
            <w:r>
              <w:rPr>
                <w:rFonts w:hint="eastAsia" w:hAnsi="宋体" w:cs="宋体"/>
                <w:color w:val="auto"/>
                <w:kern w:val="2"/>
                <w:sz w:val="21"/>
                <w:szCs w:val="21"/>
                <w:highlight w:val="none"/>
              </w:rPr>
              <w:t>采购需求当中的★条款满足要求。</w:t>
            </w:r>
          </w:p>
          <w:p>
            <w:pPr>
              <w:autoSpaceDE/>
              <w:autoSpaceDN/>
              <w:adjustRightInd/>
              <w:spacing w:line="400" w:lineRule="exact"/>
              <w:rPr>
                <w:rFonts w:hAnsi="宋体" w:cs="宋体"/>
                <w:color w:val="auto"/>
                <w:kern w:val="2"/>
                <w:sz w:val="21"/>
                <w:szCs w:val="21"/>
                <w:highlight w:val="none"/>
              </w:rPr>
            </w:pPr>
            <w:r>
              <w:rPr>
                <w:rFonts w:hAnsi="宋体" w:cs="宋体"/>
                <w:color w:val="auto"/>
                <w:kern w:val="2"/>
                <w:sz w:val="21"/>
                <w:szCs w:val="21"/>
                <w:highlight w:val="none"/>
              </w:rPr>
              <w:t>(</w:t>
            </w:r>
            <w:r>
              <w:rPr>
                <w:rFonts w:hint="eastAsia" w:hAnsi="宋体" w:cs="宋体"/>
                <w:color w:val="auto"/>
                <w:kern w:val="2"/>
                <w:sz w:val="21"/>
                <w:szCs w:val="21"/>
                <w:highlight w:val="none"/>
              </w:rPr>
              <w:t>若本项目无★条款，此项通过</w:t>
            </w:r>
            <w:r>
              <w:rPr>
                <w:rFonts w:hAnsi="宋体" w:cs="宋体"/>
                <w:color w:val="auto"/>
                <w:kern w:val="2"/>
                <w:sz w:val="21"/>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7" w:type="pct"/>
            <w:vAlign w:val="center"/>
          </w:tcPr>
          <w:p>
            <w:pPr>
              <w:autoSpaceDE/>
              <w:autoSpaceDN/>
              <w:adjustRightInd/>
              <w:spacing w:line="40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7</w:t>
            </w:r>
          </w:p>
        </w:tc>
        <w:tc>
          <w:tcPr>
            <w:tcW w:w="2356" w:type="pct"/>
            <w:vAlign w:val="center"/>
          </w:tcPr>
          <w:p>
            <w:pPr>
              <w:autoSpaceDE/>
              <w:autoSpaceDN/>
              <w:adjustRightInd/>
              <w:spacing w:line="400" w:lineRule="exact"/>
              <w:rPr>
                <w:rFonts w:hAnsi="宋体" w:cs="宋体"/>
                <w:color w:val="auto"/>
                <w:kern w:val="2"/>
                <w:sz w:val="21"/>
                <w:szCs w:val="21"/>
                <w:highlight w:val="none"/>
              </w:rPr>
            </w:pPr>
            <w:r>
              <w:rPr>
                <w:rFonts w:hint="eastAsia" w:hAnsi="宋体" w:cs="宋体"/>
                <w:color w:val="auto"/>
                <w:kern w:val="2"/>
                <w:sz w:val="21"/>
                <w:szCs w:val="21"/>
                <w:highlight w:val="none"/>
              </w:rPr>
              <w:t>响应文件未出现选择性报价或有附加条件报价的情形。</w:t>
            </w:r>
          </w:p>
        </w:tc>
        <w:tc>
          <w:tcPr>
            <w:tcW w:w="2356" w:type="pct"/>
            <w:vAlign w:val="center"/>
          </w:tcPr>
          <w:p>
            <w:pPr>
              <w:autoSpaceDE/>
              <w:autoSpaceDN/>
              <w:adjustRightInd/>
              <w:spacing w:line="400" w:lineRule="exact"/>
              <w:rPr>
                <w:rFonts w:hAnsi="宋体" w:cs="宋体"/>
                <w:color w:val="auto"/>
                <w:kern w:val="2"/>
                <w:sz w:val="21"/>
                <w:szCs w:val="21"/>
                <w:highlight w:val="none"/>
              </w:rPr>
            </w:pPr>
            <w:r>
              <w:rPr>
                <w:rFonts w:hint="eastAsia" w:hAnsi="宋体" w:cs="宋体"/>
                <w:color w:val="auto"/>
                <w:kern w:val="2"/>
                <w:sz w:val="21"/>
                <w:szCs w:val="21"/>
                <w:highlight w:val="none"/>
              </w:rPr>
              <w:t>响应文件未出现选择性报价或有附加条件报价的情形。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7" w:type="pct"/>
            <w:vAlign w:val="center"/>
          </w:tcPr>
          <w:p>
            <w:pPr>
              <w:autoSpaceDE/>
              <w:autoSpaceDN/>
              <w:adjustRightInd/>
              <w:spacing w:line="40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8</w:t>
            </w:r>
          </w:p>
        </w:tc>
        <w:tc>
          <w:tcPr>
            <w:tcW w:w="2356" w:type="pct"/>
            <w:vAlign w:val="center"/>
          </w:tcPr>
          <w:p>
            <w:pPr>
              <w:autoSpaceDE/>
              <w:autoSpaceDN/>
              <w:adjustRightInd/>
              <w:spacing w:line="400" w:lineRule="exact"/>
              <w:rPr>
                <w:rFonts w:hAnsi="宋体" w:cs="宋体"/>
                <w:color w:val="auto"/>
                <w:kern w:val="2"/>
                <w:sz w:val="21"/>
                <w:szCs w:val="21"/>
                <w:highlight w:val="none"/>
              </w:rPr>
            </w:pPr>
            <w:r>
              <w:rPr>
                <w:rFonts w:hint="eastAsia" w:hAnsi="宋体" w:cs="宋体"/>
                <w:color w:val="auto"/>
                <w:kern w:val="2"/>
                <w:sz w:val="21"/>
                <w:szCs w:val="21"/>
                <w:highlight w:val="none"/>
              </w:rPr>
              <w:t>响应文件没有磋商文件中规定的其它无效投标条款的。</w:t>
            </w:r>
          </w:p>
        </w:tc>
        <w:tc>
          <w:tcPr>
            <w:tcW w:w="2356" w:type="pct"/>
            <w:vAlign w:val="center"/>
          </w:tcPr>
          <w:p>
            <w:pPr>
              <w:autoSpaceDE/>
              <w:autoSpaceDN/>
              <w:adjustRightInd/>
              <w:spacing w:line="400" w:lineRule="exact"/>
              <w:rPr>
                <w:rFonts w:hAnsi="宋体" w:cs="宋体"/>
                <w:color w:val="auto"/>
                <w:kern w:val="2"/>
                <w:sz w:val="21"/>
                <w:szCs w:val="21"/>
                <w:highlight w:val="none"/>
              </w:rPr>
            </w:pPr>
            <w:r>
              <w:rPr>
                <w:rFonts w:hint="eastAsia" w:hAnsi="宋体" w:cs="宋体"/>
                <w:color w:val="auto"/>
                <w:kern w:val="2"/>
                <w:sz w:val="21"/>
                <w:szCs w:val="21"/>
                <w:highlight w:val="none"/>
              </w:rPr>
              <w:t>响应文件没有磋商文件中规定的其它无效投标条款的。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7" w:type="pct"/>
            <w:vAlign w:val="center"/>
          </w:tcPr>
          <w:p>
            <w:pPr>
              <w:autoSpaceDE/>
              <w:autoSpaceDN/>
              <w:adjustRightInd/>
              <w:spacing w:line="40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9</w:t>
            </w:r>
          </w:p>
        </w:tc>
        <w:tc>
          <w:tcPr>
            <w:tcW w:w="2356" w:type="pct"/>
            <w:vAlign w:val="center"/>
          </w:tcPr>
          <w:p>
            <w:pPr>
              <w:autoSpaceDE/>
              <w:autoSpaceDN/>
              <w:adjustRightInd/>
              <w:spacing w:line="400" w:lineRule="exact"/>
              <w:rPr>
                <w:rFonts w:hAnsi="宋体" w:cs="宋体"/>
                <w:color w:val="auto"/>
                <w:kern w:val="2"/>
                <w:sz w:val="21"/>
                <w:szCs w:val="21"/>
                <w:highlight w:val="none"/>
              </w:rPr>
            </w:pPr>
            <w:r>
              <w:rPr>
                <w:rFonts w:hint="eastAsia" w:hAnsi="宋体" w:cs="宋体"/>
                <w:color w:val="auto"/>
                <w:kern w:val="2"/>
                <w:sz w:val="21"/>
                <w:szCs w:val="21"/>
                <w:highlight w:val="none"/>
              </w:rPr>
              <w:t>按有关法律、法规、规章不属于投标无效的。</w:t>
            </w:r>
          </w:p>
        </w:tc>
        <w:tc>
          <w:tcPr>
            <w:tcW w:w="2356" w:type="pct"/>
            <w:vAlign w:val="center"/>
          </w:tcPr>
          <w:p>
            <w:pPr>
              <w:autoSpaceDE/>
              <w:autoSpaceDN/>
              <w:adjustRightInd/>
              <w:spacing w:line="400" w:lineRule="exact"/>
              <w:rPr>
                <w:rFonts w:hAnsi="宋体" w:cs="宋体"/>
                <w:color w:val="auto"/>
                <w:kern w:val="2"/>
                <w:sz w:val="21"/>
                <w:szCs w:val="21"/>
                <w:highlight w:val="none"/>
              </w:rPr>
            </w:pPr>
            <w:r>
              <w:rPr>
                <w:rFonts w:hint="eastAsia" w:hAnsi="宋体" w:cs="宋体"/>
                <w:color w:val="auto"/>
                <w:kern w:val="2"/>
                <w:sz w:val="21"/>
                <w:szCs w:val="21"/>
                <w:highlight w:val="none"/>
              </w:rPr>
              <w:t>按有关法律、法规、规章不属于投标无效的。</w:t>
            </w:r>
          </w:p>
        </w:tc>
      </w:tr>
    </w:tbl>
    <w:p>
      <w:pPr>
        <w:pStyle w:val="71"/>
        <w:spacing w:line="360" w:lineRule="auto"/>
        <w:ind w:firstLine="0" w:firstLineChars="0"/>
        <w:rPr>
          <w:rFonts w:ascii="宋体" w:eastAsia="宋体"/>
          <w:b/>
          <w:color w:val="auto"/>
          <w:sz w:val="21"/>
          <w:szCs w:val="21"/>
          <w:highlight w:val="none"/>
        </w:rPr>
      </w:pPr>
    </w:p>
    <w:p>
      <w:pPr>
        <w:numPr>
          <w:ilvl w:val="0"/>
          <w:numId w:val="22"/>
        </w:numPr>
        <w:snapToGrid w:val="0"/>
        <w:spacing w:line="360" w:lineRule="auto"/>
        <w:ind w:firstLine="422" w:firstLineChars="200"/>
        <w:rPr>
          <w:rFonts w:hint="eastAsia" w:hAnsi="宋体"/>
          <w:b/>
          <w:color w:val="auto"/>
          <w:sz w:val="21"/>
          <w:szCs w:val="21"/>
          <w:highlight w:val="none"/>
        </w:rPr>
      </w:pPr>
      <w:r>
        <w:rPr>
          <w:rFonts w:hint="eastAsia" w:hAnsi="宋体"/>
          <w:b/>
          <w:color w:val="auto"/>
          <w:sz w:val="21"/>
          <w:szCs w:val="21"/>
          <w:highlight w:val="none"/>
        </w:rPr>
        <w:t>磋商</w:t>
      </w:r>
    </w:p>
    <w:p>
      <w:pPr>
        <w:snapToGrid w:val="0"/>
        <w:spacing w:line="360" w:lineRule="auto"/>
        <w:ind w:firstLine="420" w:firstLineChars="200"/>
        <w:rPr>
          <w:rFonts w:hint="eastAsia" w:hAnsi="宋体"/>
          <w:b w:val="0"/>
          <w:color w:val="auto"/>
          <w:sz w:val="21"/>
          <w:szCs w:val="21"/>
          <w:highlight w:val="none"/>
          <w:lang w:val="en-US" w:eastAsia="zh-CN"/>
        </w:rPr>
      </w:pPr>
      <w:r>
        <w:rPr>
          <w:rFonts w:hint="eastAsia" w:hAnsi="宋体"/>
          <w:b w:val="0"/>
          <w:color w:val="auto"/>
          <w:sz w:val="21"/>
          <w:szCs w:val="21"/>
          <w:highlight w:val="none"/>
          <w:lang w:val="en-US" w:eastAsia="zh-CN"/>
        </w:rPr>
        <w:t>3.1磋商小组所有成员应当集中与单一供应商分别进行磋商，并给予所有参加磋商的供应商平等的磋商机会。</w:t>
      </w:r>
    </w:p>
    <w:p>
      <w:pPr>
        <w:snapToGrid w:val="0"/>
        <w:spacing w:line="360" w:lineRule="auto"/>
        <w:ind w:firstLine="420" w:firstLineChars="200"/>
        <w:rPr>
          <w:rFonts w:hint="eastAsia" w:hAnsi="宋体"/>
          <w:b w:val="0"/>
          <w:color w:val="auto"/>
          <w:sz w:val="21"/>
          <w:szCs w:val="21"/>
          <w:highlight w:val="none"/>
          <w:lang w:val="en-US" w:eastAsia="zh-CN"/>
        </w:rPr>
      </w:pPr>
      <w:r>
        <w:rPr>
          <w:rFonts w:hint="eastAsia" w:hAnsi="宋体"/>
          <w:b w:val="0"/>
          <w:color w:val="auto"/>
          <w:sz w:val="21"/>
          <w:szCs w:val="21"/>
          <w:highlight w:val="none"/>
          <w:lang w:val="en-US" w:eastAsia="zh-CN"/>
        </w:rPr>
        <w:t>3.2在磋商过程中，磋商小组可以根据磋商文件和磋商情况实质性变动采购需求中的技术、服务要求以及合同草案条款，</w:t>
      </w:r>
    </w:p>
    <w:p>
      <w:pPr>
        <w:snapToGrid w:val="0"/>
        <w:spacing w:line="360" w:lineRule="auto"/>
        <w:ind w:firstLine="420" w:firstLineChars="200"/>
        <w:rPr>
          <w:rFonts w:hint="eastAsia" w:hAnsi="宋体"/>
          <w:b w:val="0"/>
          <w:color w:val="auto"/>
          <w:sz w:val="21"/>
          <w:szCs w:val="21"/>
          <w:highlight w:val="none"/>
          <w:lang w:val="en-US" w:eastAsia="zh-CN"/>
        </w:rPr>
      </w:pPr>
      <w:r>
        <w:rPr>
          <w:rFonts w:hint="eastAsia" w:hAnsi="宋体"/>
          <w:b w:val="0"/>
          <w:color w:val="auto"/>
          <w:sz w:val="21"/>
          <w:szCs w:val="21"/>
          <w:highlight w:val="none"/>
          <w:lang w:val="en-US" w:eastAsia="zh-CN"/>
        </w:rPr>
        <w:t>但不得变动磋商文件中的其他内容。实质性变动的内容，须经采购人代表确认。</w:t>
      </w:r>
    </w:p>
    <w:p>
      <w:pPr>
        <w:snapToGrid w:val="0"/>
        <w:spacing w:line="360" w:lineRule="auto"/>
        <w:ind w:firstLine="420" w:firstLineChars="200"/>
        <w:rPr>
          <w:rFonts w:hint="eastAsia" w:hAnsi="宋体"/>
          <w:b w:val="0"/>
          <w:color w:val="auto"/>
          <w:sz w:val="21"/>
          <w:szCs w:val="21"/>
          <w:highlight w:val="none"/>
          <w:lang w:val="en-US" w:eastAsia="zh-CN"/>
        </w:rPr>
      </w:pPr>
      <w:r>
        <w:rPr>
          <w:rFonts w:hint="eastAsia" w:hAnsi="宋体"/>
          <w:b w:val="0"/>
          <w:color w:val="auto"/>
          <w:sz w:val="21"/>
          <w:szCs w:val="21"/>
          <w:highlight w:val="none"/>
          <w:lang w:val="en-US" w:eastAsia="zh-CN"/>
        </w:rPr>
        <w:t>3.3对磋商文件作出的实质性变动是磋商文件的有效组成部分，磋商小组应当及时、同时通知所有参加磋商的供应商。</w:t>
      </w:r>
    </w:p>
    <w:p>
      <w:pPr>
        <w:snapToGrid w:val="0"/>
        <w:spacing w:line="360" w:lineRule="auto"/>
        <w:ind w:firstLine="420" w:firstLineChars="200"/>
        <w:rPr>
          <w:rFonts w:hint="default" w:hAnsi="宋体" w:eastAsia="宋体"/>
          <w:b w:val="0"/>
          <w:color w:val="auto"/>
          <w:sz w:val="21"/>
          <w:szCs w:val="21"/>
          <w:highlight w:val="none"/>
          <w:lang w:val="en-US" w:eastAsia="zh-CN"/>
        </w:rPr>
      </w:pPr>
      <w:r>
        <w:rPr>
          <w:rFonts w:hint="eastAsia" w:hAnsi="宋体"/>
          <w:b w:val="0"/>
          <w:color w:val="auto"/>
          <w:sz w:val="21"/>
          <w:szCs w:val="21"/>
          <w:highlight w:val="none"/>
          <w:lang w:val="en-US" w:eastAsia="zh-CN"/>
        </w:rPr>
        <w:t>3.4供应商应当按照磋商文件的变动情况和磋商小组的要求进行最终报价或重新提交响应文件，并由其法定代表人或授权代表签字或者加盖公章。由授权代表签字的，应当附法定代表人授权书。供应商为自然人的，应当由本人签字并附身份证明。</w:t>
      </w:r>
    </w:p>
    <w:p>
      <w:pPr>
        <w:numPr>
          <w:ilvl w:val="0"/>
          <w:numId w:val="22"/>
        </w:numPr>
        <w:snapToGrid w:val="0"/>
        <w:spacing w:line="360" w:lineRule="auto"/>
        <w:ind w:firstLine="422" w:firstLineChars="200"/>
        <w:rPr>
          <w:rFonts w:hint="eastAsia" w:hAnsi="宋体"/>
          <w:b/>
          <w:color w:val="auto"/>
          <w:sz w:val="21"/>
          <w:szCs w:val="21"/>
          <w:highlight w:val="none"/>
        </w:rPr>
      </w:pPr>
      <w:r>
        <w:rPr>
          <w:rFonts w:hint="eastAsia" w:hAnsi="宋体"/>
          <w:b/>
          <w:color w:val="auto"/>
          <w:sz w:val="21"/>
          <w:szCs w:val="21"/>
          <w:highlight w:val="none"/>
        </w:rPr>
        <w:t>最后报价</w:t>
      </w:r>
    </w:p>
    <w:p>
      <w:pPr>
        <w:snapToGrid w:val="0"/>
        <w:spacing w:line="360" w:lineRule="auto"/>
        <w:ind w:firstLine="420" w:firstLineChars="200"/>
        <w:rPr>
          <w:rFonts w:hint="eastAsia" w:hAnsi="宋体"/>
          <w:b w:val="0"/>
          <w:color w:val="auto"/>
          <w:sz w:val="21"/>
          <w:szCs w:val="21"/>
          <w:highlight w:val="none"/>
          <w:lang w:val="en-US" w:eastAsia="zh-CN"/>
        </w:rPr>
      </w:pPr>
      <w:r>
        <w:rPr>
          <w:rFonts w:hint="eastAsia" w:hAnsi="宋体"/>
          <w:b w:val="0"/>
          <w:color w:val="auto"/>
          <w:sz w:val="21"/>
          <w:szCs w:val="21"/>
          <w:highlight w:val="none"/>
          <w:lang w:val="en-US" w:eastAsia="zh-CN"/>
        </w:rPr>
        <w:t>4.1磋商结束后，磋商小组应当要求所有实质性响应的供应商在规定时间内提交最后报价。最后报价是供应商响应文件的有效组成部分。</w:t>
      </w:r>
    </w:p>
    <w:p>
      <w:pPr>
        <w:snapToGrid w:val="0"/>
        <w:spacing w:line="360" w:lineRule="auto"/>
        <w:ind w:firstLine="420" w:firstLineChars="200"/>
        <w:rPr>
          <w:rFonts w:hint="eastAsia" w:hAnsi="宋体"/>
          <w:b w:val="0"/>
          <w:color w:val="auto"/>
          <w:sz w:val="21"/>
          <w:szCs w:val="21"/>
          <w:highlight w:val="none"/>
          <w:lang w:val="en-US" w:eastAsia="zh-CN"/>
        </w:rPr>
      </w:pPr>
      <w:r>
        <w:rPr>
          <w:rFonts w:hint="eastAsia" w:hAnsi="宋体"/>
          <w:b w:val="0"/>
          <w:color w:val="auto"/>
          <w:sz w:val="21"/>
          <w:szCs w:val="21"/>
          <w:highlight w:val="none"/>
          <w:lang w:val="en-US" w:eastAsia="zh-CN"/>
        </w:rPr>
        <w:t>4.2已提交响应文件的供应商，在提交最后报价之前，可以根据磋商情况退出磋商。</w:t>
      </w:r>
    </w:p>
    <w:p>
      <w:pPr>
        <w:snapToGrid w:val="0"/>
        <w:spacing w:line="360" w:lineRule="auto"/>
        <w:ind w:firstLine="420" w:firstLineChars="200"/>
        <w:rPr>
          <w:rFonts w:hint="default" w:hAnsi="宋体"/>
          <w:b w:val="0"/>
          <w:color w:val="auto"/>
          <w:sz w:val="21"/>
          <w:szCs w:val="21"/>
          <w:highlight w:val="none"/>
        </w:rPr>
      </w:pPr>
      <w:r>
        <w:rPr>
          <w:rFonts w:hint="eastAsia" w:hAnsi="宋体"/>
          <w:b w:val="0"/>
          <w:color w:val="auto"/>
          <w:sz w:val="21"/>
          <w:szCs w:val="21"/>
          <w:highlight w:val="none"/>
          <w:lang w:val="en-US" w:eastAsia="zh-CN"/>
        </w:rPr>
        <w:t>4.3除法规规定的特殊性情形外，提交最后报价的供应商不得少于3家。</w:t>
      </w:r>
    </w:p>
    <w:p>
      <w:pPr>
        <w:numPr>
          <w:ilvl w:val="0"/>
          <w:numId w:val="22"/>
        </w:numPr>
        <w:snapToGrid w:val="0"/>
        <w:spacing w:line="360" w:lineRule="auto"/>
        <w:ind w:firstLine="481" w:firstLineChars="228"/>
        <w:rPr>
          <w:rFonts w:hAnsi="宋体"/>
          <w:b/>
          <w:color w:val="auto"/>
          <w:sz w:val="21"/>
          <w:szCs w:val="21"/>
          <w:highlight w:val="none"/>
        </w:rPr>
      </w:pPr>
      <w:r>
        <w:rPr>
          <w:rFonts w:hint="eastAsia" w:hAnsi="宋体"/>
          <w:b/>
          <w:color w:val="auto"/>
          <w:sz w:val="21"/>
          <w:szCs w:val="21"/>
          <w:highlight w:val="none"/>
        </w:rPr>
        <w:t>澄清、说明或者补正</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lang w:val="en-US" w:eastAsia="zh-CN"/>
        </w:rPr>
        <w:t>5</w:t>
      </w:r>
      <w:r>
        <w:rPr>
          <w:rFonts w:hint="eastAsia" w:hAnsi="宋体"/>
          <w:color w:val="auto"/>
          <w:sz w:val="21"/>
          <w:szCs w:val="21"/>
          <w:highlight w:val="none"/>
        </w:rPr>
        <w:t>.1 对于响应文件中含义不明确、同类问题表述不一致或者有明显文字和计算错误的内容，评标委员会可在评审过程中发起在线澄清，要求投标供应商针对价格或内容做出必要的澄清、说明或补正。代理机构可根据开标环节记录的授权代表人联系方式发送短信提醒或电话告知。</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rPr>
        <w:t>若因投标供应商联系方式错误未接收短信、未接听电话或超时未进行澄清（响应）造成的不利后果由供应商自行承担。投标供应商的澄清、说明或者补正不得超出响应文件的范围或者改变响应文件的实质性内容。</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lang w:val="en-US" w:eastAsia="zh-CN"/>
        </w:rPr>
        <w:t>5</w:t>
      </w:r>
      <w:r>
        <w:rPr>
          <w:rFonts w:hint="eastAsia" w:hAnsi="宋体"/>
          <w:color w:val="auto"/>
          <w:sz w:val="21"/>
          <w:szCs w:val="21"/>
          <w:highlight w:val="none"/>
        </w:rPr>
        <w:t>.2评标委员会不接受投标供应商主动提出的澄清、说明或补正。</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lang w:val="en-US" w:eastAsia="zh-CN"/>
        </w:rPr>
        <w:t>5</w:t>
      </w:r>
      <w:r>
        <w:rPr>
          <w:rFonts w:hint="eastAsia" w:hAnsi="宋体"/>
          <w:color w:val="auto"/>
          <w:sz w:val="21"/>
          <w:szCs w:val="21"/>
          <w:highlight w:val="none"/>
        </w:rPr>
        <w:t>.3评标委员会对投标供应商提交的澄清、说明或补正有疑问的，可以要求投标供应商进一步澄清、说明或补正。</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lang w:val="en-US" w:eastAsia="zh-CN"/>
        </w:rPr>
        <w:t>5</w:t>
      </w:r>
      <w:r>
        <w:rPr>
          <w:rFonts w:hint="eastAsia" w:hAnsi="宋体"/>
          <w:color w:val="auto"/>
          <w:sz w:val="21"/>
          <w:szCs w:val="21"/>
          <w:highlight w:val="none"/>
        </w:rPr>
        <w:t>.4 响应文件报价出现前后不一致的，按照下列规定对报价的计算错误按以下原则修正：</w:t>
      </w:r>
    </w:p>
    <w:p>
      <w:pPr>
        <w:snapToGrid w:val="0"/>
        <w:spacing w:line="360" w:lineRule="auto"/>
        <w:ind w:firstLine="420" w:firstLineChars="200"/>
        <w:rPr>
          <w:rFonts w:hAnsi="宋体"/>
          <w:color w:val="auto"/>
          <w:kern w:val="2"/>
          <w:sz w:val="21"/>
          <w:szCs w:val="21"/>
          <w:highlight w:val="none"/>
        </w:rPr>
      </w:pPr>
      <w:r>
        <w:rPr>
          <w:rFonts w:hint="eastAsia" w:hAnsi="宋体"/>
          <w:color w:val="auto"/>
          <w:kern w:val="2"/>
          <w:sz w:val="21"/>
          <w:szCs w:val="21"/>
          <w:highlight w:val="none"/>
        </w:rPr>
        <w:t>（1）响应文件中首轮报价表（报价表）内容与响应文件中相应内容不一致的，以首轮报价表（报价表）为准；</w:t>
      </w:r>
    </w:p>
    <w:p>
      <w:pPr>
        <w:snapToGrid w:val="0"/>
        <w:spacing w:line="360" w:lineRule="auto"/>
        <w:ind w:firstLine="420" w:firstLineChars="200"/>
        <w:rPr>
          <w:rFonts w:hAnsi="宋体"/>
          <w:color w:val="auto"/>
          <w:kern w:val="2"/>
          <w:sz w:val="21"/>
          <w:szCs w:val="21"/>
          <w:highlight w:val="none"/>
        </w:rPr>
      </w:pPr>
      <w:r>
        <w:rPr>
          <w:rFonts w:hint="eastAsia" w:hAnsi="宋体"/>
          <w:color w:val="auto"/>
          <w:kern w:val="2"/>
          <w:sz w:val="21"/>
          <w:szCs w:val="21"/>
          <w:highlight w:val="none"/>
        </w:rPr>
        <w:t>（2）大写金额和小写金额不一致的，以大写金额为准；</w:t>
      </w:r>
    </w:p>
    <w:p>
      <w:pPr>
        <w:snapToGrid w:val="0"/>
        <w:spacing w:line="360" w:lineRule="auto"/>
        <w:ind w:firstLine="420" w:firstLineChars="200"/>
        <w:rPr>
          <w:rFonts w:hAnsi="宋体"/>
          <w:color w:val="auto"/>
          <w:kern w:val="2"/>
          <w:sz w:val="21"/>
          <w:szCs w:val="21"/>
          <w:highlight w:val="none"/>
        </w:rPr>
      </w:pPr>
      <w:r>
        <w:rPr>
          <w:rFonts w:hint="eastAsia" w:hAnsi="宋体"/>
          <w:color w:val="auto"/>
          <w:kern w:val="2"/>
          <w:sz w:val="21"/>
          <w:szCs w:val="21"/>
          <w:highlight w:val="none"/>
        </w:rPr>
        <w:t>（3）单价金额小数点或者百分比有明显错位的，以首轮报价表的总价为准，并修改单价；</w:t>
      </w:r>
    </w:p>
    <w:p>
      <w:pPr>
        <w:snapToGrid w:val="0"/>
        <w:spacing w:line="360" w:lineRule="auto"/>
        <w:ind w:firstLine="420" w:firstLineChars="200"/>
        <w:rPr>
          <w:rFonts w:hAnsi="宋体"/>
          <w:color w:val="auto"/>
          <w:kern w:val="2"/>
          <w:sz w:val="21"/>
          <w:szCs w:val="21"/>
          <w:highlight w:val="none"/>
        </w:rPr>
      </w:pPr>
      <w:r>
        <w:rPr>
          <w:rFonts w:hint="eastAsia" w:hAnsi="宋体"/>
          <w:color w:val="auto"/>
          <w:kern w:val="2"/>
          <w:sz w:val="21"/>
          <w:szCs w:val="21"/>
          <w:highlight w:val="none"/>
        </w:rPr>
        <w:t>（4）总价金额与按单价汇总金额不一致的，以单价金额计算结果为准。但是单价金额计算结果超过预算价的，对其按无效响应处理；</w:t>
      </w:r>
    </w:p>
    <w:p>
      <w:pPr>
        <w:snapToGrid w:val="0"/>
        <w:spacing w:line="360" w:lineRule="auto"/>
        <w:ind w:firstLine="420" w:firstLineChars="200"/>
        <w:rPr>
          <w:rFonts w:hAnsi="宋体"/>
          <w:color w:val="auto"/>
          <w:kern w:val="2"/>
          <w:sz w:val="21"/>
          <w:szCs w:val="21"/>
          <w:highlight w:val="none"/>
        </w:rPr>
      </w:pPr>
      <w:r>
        <w:rPr>
          <w:rFonts w:hint="eastAsia" w:hAnsi="宋体"/>
          <w:color w:val="auto"/>
          <w:kern w:val="2"/>
          <w:sz w:val="21"/>
          <w:szCs w:val="21"/>
          <w:highlight w:val="none"/>
        </w:rPr>
        <w:t>（5）若报价数据与响应文件价格不一致的，以大写报价数据为准。</w:t>
      </w:r>
    </w:p>
    <w:p>
      <w:pPr>
        <w:snapToGrid w:val="0"/>
        <w:spacing w:line="360" w:lineRule="auto"/>
        <w:ind w:firstLine="420" w:firstLineChars="200"/>
        <w:rPr>
          <w:rFonts w:hAnsi="宋体"/>
          <w:color w:val="auto"/>
          <w:kern w:val="2"/>
          <w:sz w:val="21"/>
          <w:szCs w:val="21"/>
          <w:highlight w:val="none"/>
        </w:rPr>
      </w:pPr>
      <w:r>
        <w:rPr>
          <w:rFonts w:hint="eastAsia" w:hAnsi="宋体"/>
          <w:color w:val="auto"/>
          <w:kern w:val="2"/>
          <w:sz w:val="21"/>
          <w:szCs w:val="21"/>
          <w:highlight w:val="none"/>
        </w:rPr>
        <w:t>注：同时出现两种以上不一致的，按照前款规定的顺序在进行价格澄清。供应商澄清后的价格签名确认后产生约束力，但不得超出响应文件的范围或者改变响应文件的实质性内容，供应商不确认的，其响应无效。</w:t>
      </w:r>
    </w:p>
    <w:p>
      <w:pPr>
        <w:snapToGrid w:val="0"/>
        <w:spacing w:line="360" w:lineRule="auto"/>
        <w:ind w:firstLine="422" w:firstLineChars="200"/>
        <w:rPr>
          <w:rFonts w:hAnsi="宋体"/>
          <w:b/>
          <w:color w:val="auto"/>
          <w:sz w:val="21"/>
          <w:szCs w:val="21"/>
          <w:highlight w:val="none"/>
        </w:rPr>
      </w:pPr>
      <w:r>
        <w:rPr>
          <w:rFonts w:hint="eastAsia" w:hAnsi="宋体"/>
          <w:b/>
          <w:color w:val="auto"/>
          <w:sz w:val="21"/>
          <w:szCs w:val="21"/>
          <w:highlight w:val="none"/>
          <w:lang w:val="en-US" w:eastAsia="zh-CN"/>
        </w:rPr>
        <w:t>6</w:t>
      </w:r>
      <w:r>
        <w:rPr>
          <w:rFonts w:hint="eastAsia" w:hAnsi="宋体"/>
          <w:b/>
          <w:color w:val="auto"/>
          <w:sz w:val="21"/>
          <w:szCs w:val="21"/>
          <w:highlight w:val="none"/>
        </w:rPr>
        <w:t>、比较与评价</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lang w:val="en-US" w:eastAsia="zh-CN"/>
        </w:rPr>
        <w:t>6</w:t>
      </w:r>
      <w:r>
        <w:rPr>
          <w:rFonts w:hint="eastAsia" w:hAnsi="宋体"/>
          <w:color w:val="auto"/>
          <w:sz w:val="21"/>
          <w:szCs w:val="21"/>
          <w:highlight w:val="none"/>
        </w:rPr>
        <w:t>.1 磋商小组按照磋商文件规定的评标方法和标准，对符合性检查合格的响应文件进行商务、技术和价格评估，综合比较与评价。</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lang w:val="en-US" w:eastAsia="zh-CN"/>
        </w:rPr>
        <w:t>6</w:t>
      </w:r>
      <w:r>
        <w:rPr>
          <w:rFonts w:hint="eastAsia" w:hAnsi="宋体"/>
          <w:color w:val="auto"/>
          <w:sz w:val="21"/>
          <w:szCs w:val="21"/>
          <w:highlight w:val="none"/>
        </w:rPr>
        <w:t>.2 评标时，磋商小组各成员应当独立对每个供应商的响应文件进行评价，并汇总每个供应商的得分。</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lang w:val="en-US" w:eastAsia="zh-CN"/>
        </w:rPr>
        <w:t>6</w:t>
      </w:r>
      <w:r>
        <w:rPr>
          <w:rFonts w:hint="eastAsia" w:hAnsi="宋体"/>
          <w:color w:val="auto"/>
          <w:sz w:val="21"/>
          <w:szCs w:val="21"/>
          <w:highlight w:val="none"/>
        </w:rPr>
        <w:t>.3 磋商小组成员对需要共同认定的事项存在争议的，应当按照少数服从多数的原则作出结论。持不同意见的磋商小组成员应当在评标报告上签署不同意见及理由，否则视为同意评标报告。</w:t>
      </w:r>
    </w:p>
    <w:p>
      <w:pPr>
        <w:snapToGrid w:val="0"/>
        <w:spacing w:line="360" w:lineRule="auto"/>
        <w:ind w:firstLine="420" w:firstLineChars="200"/>
        <w:rPr>
          <w:rFonts w:hint="eastAsia" w:hAnsi="宋体"/>
          <w:color w:val="auto"/>
          <w:sz w:val="21"/>
          <w:szCs w:val="21"/>
          <w:highlight w:val="none"/>
        </w:rPr>
      </w:pPr>
      <w:r>
        <w:rPr>
          <w:rFonts w:hint="eastAsia" w:hAnsi="宋体"/>
          <w:color w:val="auto"/>
          <w:sz w:val="21"/>
          <w:szCs w:val="21"/>
          <w:highlight w:val="none"/>
          <w:lang w:val="en-US" w:eastAsia="zh-CN"/>
        </w:rPr>
        <w:t>6</w:t>
      </w:r>
      <w:r>
        <w:rPr>
          <w:rFonts w:hint="eastAsia" w:hAnsi="宋体"/>
          <w:color w:val="auto"/>
          <w:sz w:val="21"/>
          <w:szCs w:val="21"/>
          <w:highlight w:val="none"/>
        </w:rPr>
        <w:t>.4 磋商小组发现磋商文件存在歧义、重大缺陷导致评标工作无法进行，或者磋商文件内容违反国家有关强制性规定的，应当停止评标工作，与采购人或者采购代理机构沟通并作书面记录。采购人或者采购代理机构确认后，应当修改磋商文件，重新组织采购活动。</w:t>
      </w:r>
    </w:p>
    <w:p>
      <w:pPr>
        <w:snapToGrid w:val="0"/>
        <w:spacing w:line="360" w:lineRule="auto"/>
        <w:ind w:firstLine="422" w:firstLineChars="200"/>
        <w:rPr>
          <w:rFonts w:hAnsi="宋体"/>
          <w:b/>
          <w:color w:val="auto"/>
          <w:sz w:val="21"/>
          <w:szCs w:val="21"/>
          <w:highlight w:val="none"/>
        </w:rPr>
      </w:pPr>
      <w:r>
        <w:rPr>
          <w:rFonts w:hint="eastAsia" w:hAnsi="宋体"/>
          <w:b/>
          <w:color w:val="auto"/>
          <w:sz w:val="21"/>
          <w:szCs w:val="21"/>
          <w:highlight w:val="none"/>
          <w:lang w:val="en-US" w:eastAsia="zh-CN"/>
        </w:rPr>
        <w:t>7</w:t>
      </w:r>
      <w:r>
        <w:rPr>
          <w:rFonts w:hint="eastAsia" w:hAnsi="宋体"/>
          <w:b/>
          <w:color w:val="auto"/>
          <w:sz w:val="21"/>
          <w:szCs w:val="21"/>
          <w:highlight w:val="none"/>
        </w:rPr>
        <w:t>、得分统计及推荐成交候选人名单</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lang w:val="en-US" w:eastAsia="zh-CN"/>
        </w:rPr>
        <w:t>7</w:t>
      </w:r>
      <w:r>
        <w:rPr>
          <w:rFonts w:hint="eastAsia" w:hAnsi="宋体"/>
          <w:color w:val="auto"/>
          <w:sz w:val="21"/>
          <w:szCs w:val="21"/>
          <w:highlight w:val="none"/>
        </w:rPr>
        <w:t xml:space="preserve">.1 </w:t>
      </w:r>
      <w:r>
        <w:rPr>
          <w:rFonts w:hint="eastAsia" w:hAnsi="宋体"/>
          <w:b/>
          <w:color w:val="auto"/>
          <w:sz w:val="21"/>
          <w:szCs w:val="21"/>
          <w:highlight w:val="none"/>
        </w:rPr>
        <w:t>经磋商确定最终采购需求和提交最后报价的供应商后，由磋商小组采用综合评分法对提交最后报价的供应商的响应文件和最后报价进行综合评价。</w:t>
      </w:r>
      <w:r>
        <w:rPr>
          <w:rFonts w:hint="eastAsia" w:hAnsi="宋体"/>
          <w:color w:val="auto"/>
          <w:sz w:val="21"/>
          <w:szCs w:val="21"/>
          <w:highlight w:val="none"/>
        </w:rPr>
        <w:t>按照评标程序的规定和依据评分标准</w:t>
      </w:r>
      <w:r>
        <w:rPr>
          <w:rFonts w:hAnsi="宋体"/>
          <w:color w:val="auto"/>
          <w:sz w:val="21"/>
          <w:szCs w:val="21"/>
          <w:highlight w:val="none"/>
        </w:rPr>
        <w:t>,</w:t>
      </w:r>
      <w:r>
        <w:rPr>
          <w:rFonts w:hint="eastAsia" w:hAnsi="宋体"/>
          <w:color w:val="auto"/>
          <w:sz w:val="21"/>
          <w:szCs w:val="21"/>
          <w:highlight w:val="none"/>
        </w:rPr>
        <w:t xml:space="preserve"> 磋商小组各成员将独立对每个供应商的响应文件进行评价，独立评出其商务评分和技术评分。各评委的评分的算术平均值即为该供应商的商务得分和技术得分。然后，评出价格得分。将商务得分、技术得分和价格得分相加得出综合得分（评标总得分分值按四舍五入原则精确到小数点后两位）。</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lang w:val="en-US" w:eastAsia="zh-CN"/>
        </w:rPr>
        <w:t>7</w:t>
      </w:r>
      <w:r>
        <w:rPr>
          <w:rFonts w:hint="eastAsia" w:hAnsi="宋体"/>
          <w:color w:val="auto"/>
          <w:sz w:val="21"/>
          <w:szCs w:val="21"/>
          <w:highlight w:val="none"/>
        </w:rPr>
        <w:t>.2 评标结果按评审后得分由高到低顺序排列。得分相同的，按投标报价由低到高顺序排列。得分且投标报价相同的并列。响应文件满足磋商文件全部实质性要求，且按照评审因素的量化指标评审得分最高的供应商为第一成交候选人，得分次高的供应商为第二成交候选人，依次类推。</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lang w:val="en-US" w:eastAsia="zh-CN"/>
        </w:rPr>
        <w:t>7</w:t>
      </w:r>
      <w:r>
        <w:rPr>
          <w:rFonts w:hint="eastAsia" w:hAnsi="宋体"/>
          <w:color w:val="auto"/>
          <w:sz w:val="21"/>
          <w:szCs w:val="21"/>
          <w:highlight w:val="none"/>
        </w:rPr>
        <w:t>.3 评标结果汇总完成后，除下列情形外，任何人不得修改评标结果：</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rPr>
        <w:t>　　1）分值汇总计算错误的；</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rPr>
        <w:t>　　2）分项评分超出评分标准范围的；</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rPr>
        <w:t>　　3）磋商小组成员对客观评审因素评分不一致的；</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rPr>
        <w:t>　　4）经磋商小组认定评分畸高、畸低的。</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rPr>
        <w:t>评标报告签署前，经复核发现存在以上情形之一的，磋商小组当场修改评标结果，并在评标报告中记载；评标报告签署后，采购人或者采购代理机构发现存在以上情形之一的，将组织原磋商小组进行重新评审，重新评审改变评标结果。供应商对本条第一款情形提出质疑的，采购人或者采购代理机构可以组织原磋商小组进行重新评审，重新评审改变评标结果。</w:t>
      </w:r>
    </w:p>
    <w:p>
      <w:pPr>
        <w:snapToGrid w:val="0"/>
        <w:spacing w:line="360" w:lineRule="auto"/>
        <w:ind w:firstLine="422" w:firstLineChars="200"/>
        <w:rPr>
          <w:rFonts w:hAnsi="宋体"/>
          <w:b/>
          <w:color w:val="auto"/>
          <w:sz w:val="21"/>
          <w:szCs w:val="21"/>
          <w:highlight w:val="none"/>
        </w:rPr>
      </w:pPr>
      <w:r>
        <w:rPr>
          <w:rFonts w:hint="eastAsia" w:hAnsi="宋体"/>
          <w:b/>
          <w:color w:val="auto"/>
          <w:sz w:val="21"/>
          <w:szCs w:val="21"/>
          <w:highlight w:val="none"/>
          <w:lang w:val="en-US" w:eastAsia="zh-CN"/>
        </w:rPr>
        <w:t>8</w:t>
      </w:r>
      <w:r>
        <w:rPr>
          <w:rFonts w:hint="eastAsia" w:hAnsi="宋体"/>
          <w:b/>
          <w:color w:val="auto"/>
          <w:sz w:val="21"/>
          <w:szCs w:val="21"/>
          <w:highlight w:val="none"/>
        </w:rPr>
        <w:t>、编写评标报告</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lang w:val="en-US" w:eastAsia="zh-CN"/>
        </w:rPr>
        <w:t>8</w:t>
      </w:r>
      <w:r>
        <w:rPr>
          <w:rFonts w:hint="eastAsia" w:hAnsi="宋体"/>
          <w:color w:val="auto"/>
          <w:sz w:val="21"/>
          <w:szCs w:val="21"/>
          <w:highlight w:val="none"/>
        </w:rPr>
        <w:t>.1 磋商小组根据全体评标成员签字的原始评标记录和评标结果编写评标报告。评标报告包括以下内容：</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rPr>
        <w:t>1）磋商公告刊登的媒体名称、开标日期和地点；</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rPr>
        <w:t>2）供应商名单和磋商小组成员名单；</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rPr>
        <w:t>3）评标方法和标准；</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rPr>
        <w:t>4）开标记录和评标情况及说明，包括无效供应商名单及原因；</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rPr>
        <w:t>5）评标结果，确定的成交候选人名单或者经采购人委托直接确定的成交供应商；</w:t>
      </w: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rPr>
        <w:t>6）其他需要说明的情况，包括评标过程中供应商根据磋商小组要求进行的澄清、说明或者补正，磋商小组成员的更换等。</w:t>
      </w:r>
    </w:p>
    <w:p>
      <w:pPr>
        <w:pageBreakBefore/>
        <w:tabs>
          <w:tab w:val="left" w:pos="1287"/>
        </w:tabs>
        <w:snapToGrid w:val="0"/>
        <w:spacing w:line="360" w:lineRule="auto"/>
        <w:ind w:left="-53" w:leftChars="-22" w:firstLine="51" w:firstLineChars="24"/>
        <w:outlineLvl w:val="1"/>
        <w:rPr>
          <w:rFonts w:hAnsi="宋体"/>
          <w:b/>
          <w:color w:val="auto"/>
          <w:sz w:val="21"/>
          <w:szCs w:val="21"/>
          <w:highlight w:val="none"/>
        </w:rPr>
      </w:pPr>
      <w:bookmarkStart w:id="86" w:name="_Toc396137265"/>
      <w:bookmarkStart w:id="87" w:name="_Toc417"/>
      <w:r>
        <w:rPr>
          <w:rFonts w:hint="eastAsia" w:hAnsi="宋体"/>
          <w:b/>
          <w:color w:val="auto"/>
          <w:sz w:val="21"/>
          <w:szCs w:val="21"/>
          <w:highlight w:val="none"/>
        </w:rPr>
        <w:t>三、评分标准和细则</w:t>
      </w:r>
      <w:bookmarkEnd w:id="86"/>
      <w:bookmarkEnd w:id="87"/>
    </w:p>
    <w:p>
      <w:pPr>
        <w:tabs>
          <w:tab w:val="left" w:pos="480"/>
          <w:tab w:val="left" w:pos="720"/>
        </w:tabs>
        <w:autoSpaceDE/>
        <w:autoSpaceDN/>
        <w:adjustRightInd/>
        <w:spacing w:before="312" w:beforeLines="100" w:after="312" w:afterLines="100" w:line="360" w:lineRule="auto"/>
        <w:jc w:val="both"/>
        <w:rPr>
          <w:rFonts w:hAnsi="宋体"/>
          <w:b/>
          <w:bCs/>
          <w:color w:val="auto"/>
          <w:sz w:val="21"/>
          <w:szCs w:val="21"/>
          <w:highlight w:val="none"/>
        </w:rPr>
      </w:pPr>
      <w:r>
        <w:rPr>
          <w:rFonts w:hint="eastAsia" w:hAnsi="宋体"/>
          <w:b/>
          <w:bCs/>
          <w:color w:val="auto"/>
          <w:sz w:val="21"/>
          <w:szCs w:val="21"/>
          <w:highlight w:val="none"/>
        </w:rPr>
        <w:t>（一）评分因素及分值</w:t>
      </w:r>
    </w:p>
    <w:p>
      <w:pPr>
        <w:numPr>
          <w:ilvl w:val="0"/>
          <w:numId w:val="23"/>
        </w:numPr>
        <w:tabs>
          <w:tab w:val="left" w:pos="660"/>
        </w:tabs>
        <w:autoSpaceDE/>
        <w:autoSpaceDN/>
        <w:adjustRightInd/>
        <w:spacing w:line="360" w:lineRule="auto"/>
        <w:ind w:left="480" w:hanging="480"/>
        <w:jc w:val="both"/>
        <w:rPr>
          <w:rFonts w:hAnsi="宋体"/>
          <w:color w:val="auto"/>
          <w:sz w:val="21"/>
          <w:szCs w:val="21"/>
          <w:highlight w:val="none"/>
        </w:rPr>
      </w:pPr>
      <w:r>
        <w:rPr>
          <w:rFonts w:hint="eastAsia" w:hAnsi="宋体"/>
          <w:color w:val="auto"/>
          <w:sz w:val="21"/>
          <w:szCs w:val="21"/>
          <w:highlight w:val="none"/>
        </w:rPr>
        <w:t>评委考核打分的评分因素及分值:总分100分</w:t>
      </w:r>
    </w:p>
    <w:tbl>
      <w:tblPr>
        <w:tblStyle w:val="4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0"/>
        <w:gridCol w:w="3579"/>
        <w:gridCol w:w="42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7" w:hRule="exact"/>
          <w:jc w:val="center"/>
        </w:trPr>
        <w:tc>
          <w:tcPr>
            <w:tcW w:w="720" w:type="dxa"/>
            <w:tcBorders>
              <w:top w:val="single" w:color="auto" w:sz="12" w:space="0"/>
              <w:left w:val="single" w:color="auto" w:sz="12" w:space="0"/>
              <w:right w:val="single" w:color="auto" w:sz="6"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序号</w:t>
            </w:r>
          </w:p>
        </w:tc>
        <w:tc>
          <w:tcPr>
            <w:tcW w:w="3579" w:type="dxa"/>
            <w:tcBorders>
              <w:top w:val="single" w:color="auto" w:sz="12" w:space="0"/>
              <w:left w:val="single" w:color="auto" w:sz="6"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评分因素</w:t>
            </w:r>
          </w:p>
        </w:tc>
        <w:tc>
          <w:tcPr>
            <w:tcW w:w="4297" w:type="dxa"/>
            <w:tcBorders>
              <w:top w:val="single" w:color="auto" w:sz="12" w:space="0"/>
              <w:right w:val="single" w:color="auto" w:sz="12"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分值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9" w:hRule="atLeast"/>
          <w:jc w:val="center"/>
        </w:trPr>
        <w:tc>
          <w:tcPr>
            <w:tcW w:w="720" w:type="dxa"/>
            <w:tcBorders>
              <w:left w:val="single" w:color="auto" w:sz="12" w:space="0"/>
              <w:right w:val="single" w:color="auto" w:sz="6"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1</w:t>
            </w:r>
          </w:p>
        </w:tc>
        <w:tc>
          <w:tcPr>
            <w:tcW w:w="3579" w:type="dxa"/>
            <w:tcBorders>
              <w:left w:val="single" w:color="auto" w:sz="6"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商务</w:t>
            </w:r>
          </w:p>
        </w:tc>
        <w:tc>
          <w:tcPr>
            <w:tcW w:w="4297" w:type="dxa"/>
            <w:tcBorders>
              <w:right w:val="single" w:color="auto" w:sz="12"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30分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9" w:hRule="atLeast"/>
          <w:jc w:val="center"/>
        </w:trPr>
        <w:tc>
          <w:tcPr>
            <w:tcW w:w="720" w:type="dxa"/>
            <w:tcBorders>
              <w:left w:val="single" w:color="auto" w:sz="12" w:space="0"/>
              <w:right w:val="single" w:color="auto" w:sz="6"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2</w:t>
            </w:r>
          </w:p>
        </w:tc>
        <w:tc>
          <w:tcPr>
            <w:tcW w:w="3579" w:type="dxa"/>
            <w:tcBorders>
              <w:left w:val="single" w:color="auto" w:sz="6"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技术</w:t>
            </w:r>
          </w:p>
        </w:tc>
        <w:tc>
          <w:tcPr>
            <w:tcW w:w="4297" w:type="dxa"/>
            <w:tcBorders>
              <w:right w:val="single" w:color="auto" w:sz="12"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50分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4" w:hRule="atLeast"/>
          <w:jc w:val="center"/>
        </w:trPr>
        <w:tc>
          <w:tcPr>
            <w:tcW w:w="720" w:type="dxa"/>
            <w:tcBorders>
              <w:left w:val="single" w:color="auto" w:sz="12" w:space="0"/>
              <w:right w:val="single" w:color="auto" w:sz="6"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3</w:t>
            </w:r>
          </w:p>
        </w:tc>
        <w:tc>
          <w:tcPr>
            <w:tcW w:w="3579" w:type="dxa"/>
            <w:tcBorders>
              <w:left w:val="single" w:color="auto" w:sz="6"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价格</w:t>
            </w:r>
          </w:p>
        </w:tc>
        <w:tc>
          <w:tcPr>
            <w:tcW w:w="4297" w:type="dxa"/>
            <w:tcBorders>
              <w:right w:val="single" w:color="auto" w:sz="12"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20分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4" w:hRule="atLeast"/>
          <w:jc w:val="center"/>
        </w:trPr>
        <w:tc>
          <w:tcPr>
            <w:tcW w:w="4299" w:type="dxa"/>
            <w:gridSpan w:val="2"/>
            <w:tcBorders>
              <w:left w:val="single" w:color="auto" w:sz="12" w:space="0"/>
              <w:bottom w:val="single" w:color="auto" w:sz="12"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总  分</w:t>
            </w:r>
          </w:p>
        </w:tc>
        <w:tc>
          <w:tcPr>
            <w:tcW w:w="4297" w:type="dxa"/>
            <w:tcBorders>
              <w:bottom w:val="single" w:color="auto" w:sz="12" w:space="0"/>
              <w:right w:val="single" w:color="auto" w:sz="12" w:space="0"/>
            </w:tcBorders>
            <w:vAlign w:val="center"/>
          </w:tcPr>
          <w:p>
            <w:pPr>
              <w:spacing w:line="420" w:lineRule="exact"/>
              <w:jc w:val="center"/>
              <w:rPr>
                <w:rFonts w:hAnsi="宋体"/>
                <w:color w:val="auto"/>
                <w:sz w:val="21"/>
                <w:szCs w:val="21"/>
                <w:highlight w:val="none"/>
              </w:rPr>
            </w:pPr>
            <w:r>
              <w:rPr>
                <w:rFonts w:hint="eastAsia" w:hAnsi="宋体"/>
                <w:color w:val="auto"/>
                <w:sz w:val="21"/>
                <w:szCs w:val="21"/>
                <w:highlight w:val="none"/>
              </w:rPr>
              <w:t>100分</w:t>
            </w:r>
          </w:p>
        </w:tc>
      </w:tr>
    </w:tbl>
    <w:p>
      <w:pPr>
        <w:tabs>
          <w:tab w:val="left" w:pos="480"/>
          <w:tab w:val="left" w:pos="720"/>
        </w:tabs>
        <w:autoSpaceDE/>
        <w:autoSpaceDN/>
        <w:adjustRightInd/>
        <w:spacing w:before="312" w:beforeLines="100" w:after="312" w:afterLines="100" w:line="360" w:lineRule="auto"/>
        <w:jc w:val="both"/>
        <w:rPr>
          <w:rFonts w:hAnsi="宋体"/>
          <w:b/>
          <w:bCs/>
          <w:color w:val="auto"/>
          <w:sz w:val="21"/>
          <w:szCs w:val="21"/>
          <w:highlight w:val="none"/>
        </w:rPr>
      </w:pPr>
      <w:r>
        <w:rPr>
          <w:rFonts w:hint="eastAsia" w:hAnsi="宋体"/>
          <w:b/>
          <w:bCs/>
          <w:color w:val="auto"/>
          <w:sz w:val="21"/>
          <w:szCs w:val="21"/>
          <w:highlight w:val="none"/>
        </w:rPr>
        <w:t>（二）评分因素分值的具体分配：</w:t>
      </w:r>
    </w:p>
    <w:p>
      <w:pPr>
        <w:pStyle w:val="86"/>
        <w:keepNext w:val="0"/>
        <w:numPr>
          <w:ilvl w:val="3"/>
          <w:numId w:val="24"/>
        </w:numPr>
        <w:tabs>
          <w:tab w:val="left" w:pos="0"/>
          <w:tab w:val="clear" w:pos="1620"/>
        </w:tabs>
        <w:spacing w:after="0" w:line="360" w:lineRule="auto"/>
        <w:ind w:left="360"/>
        <w:rPr>
          <w:rFonts w:ascii="宋体" w:hAnsi="宋体"/>
          <w:color w:val="auto"/>
          <w:highlight w:val="none"/>
        </w:rPr>
      </w:pPr>
      <w:r>
        <w:rPr>
          <w:rFonts w:hint="eastAsia" w:ascii="宋体" w:hAnsi="宋体"/>
          <w:b/>
          <w:color w:val="auto"/>
          <w:highlight w:val="none"/>
        </w:rPr>
        <w:t>商务评分标准：（总分：30分）</w:t>
      </w:r>
    </w:p>
    <w:tbl>
      <w:tblPr>
        <w:tblStyle w:val="48"/>
        <w:tblW w:w="893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52"/>
        <w:gridCol w:w="778"/>
        <w:gridCol w:w="675"/>
        <w:gridCol w:w="672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52" w:type="dxa"/>
            <w:shd w:val="clear" w:color="auto" w:fill="auto"/>
            <w:noWrap/>
            <w:vAlign w:val="center"/>
          </w:tcPr>
          <w:p>
            <w:pPr>
              <w:autoSpaceDE/>
              <w:autoSpaceDN/>
              <w:adjustRightInd/>
              <w:spacing w:line="440" w:lineRule="exact"/>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序号</w:t>
            </w:r>
          </w:p>
        </w:tc>
        <w:tc>
          <w:tcPr>
            <w:tcW w:w="778" w:type="dxa"/>
            <w:shd w:val="clear" w:color="auto" w:fill="auto"/>
            <w:noWrap/>
            <w:vAlign w:val="center"/>
          </w:tcPr>
          <w:p>
            <w:pPr>
              <w:autoSpaceDE/>
              <w:autoSpaceDN/>
              <w:adjustRightInd/>
              <w:spacing w:line="440" w:lineRule="exact"/>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评分内容</w:t>
            </w:r>
          </w:p>
        </w:tc>
        <w:tc>
          <w:tcPr>
            <w:tcW w:w="675" w:type="dxa"/>
            <w:shd w:val="clear" w:color="auto" w:fill="auto"/>
            <w:noWrap/>
            <w:vAlign w:val="center"/>
          </w:tcPr>
          <w:p>
            <w:pPr>
              <w:autoSpaceDE/>
              <w:autoSpaceDN/>
              <w:adjustRightInd/>
              <w:spacing w:line="440" w:lineRule="exact"/>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分值</w:t>
            </w:r>
          </w:p>
        </w:tc>
        <w:tc>
          <w:tcPr>
            <w:tcW w:w="6726" w:type="dxa"/>
            <w:shd w:val="clear" w:color="auto" w:fill="auto"/>
            <w:noWrap/>
            <w:vAlign w:val="center"/>
          </w:tcPr>
          <w:p>
            <w:pPr>
              <w:autoSpaceDE/>
              <w:autoSpaceDN/>
              <w:adjustRightInd/>
              <w:spacing w:line="440" w:lineRule="exact"/>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评分标准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1" w:hRule="atLeast"/>
          <w:jc w:val="center"/>
        </w:trPr>
        <w:tc>
          <w:tcPr>
            <w:tcW w:w="752" w:type="dxa"/>
            <w:shd w:val="clear" w:color="auto" w:fill="auto"/>
            <w:noWrap/>
            <w:vAlign w:val="center"/>
          </w:tcPr>
          <w:p>
            <w:pPr>
              <w:autoSpaceDE/>
              <w:autoSpaceDN/>
              <w:adjustRightInd/>
              <w:spacing w:line="440" w:lineRule="exact"/>
              <w:jc w:val="center"/>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rPr>
              <w:t>1</w:t>
            </w:r>
          </w:p>
        </w:tc>
        <w:tc>
          <w:tcPr>
            <w:tcW w:w="778" w:type="dxa"/>
            <w:shd w:val="clear" w:color="auto" w:fill="auto"/>
            <w:noWrap/>
            <w:vAlign w:val="center"/>
          </w:tcPr>
          <w:p>
            <w:pPr>
              <w:autoSpaceDE/>
              <w:autoSpaceDN/>
              <w:adjustRightInd/>
              <w:spacing w:line="440" w:lineRule="exact"/>
              <w:jc w:val="center"/>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rPr>
              <w:t>项目业绩</w:t>
            </w:r>
          </w:p>
        </w:tc>
        <w:tc>
          <w:tcPr>
            <w:tcW w:w="675" w:type="dxa"/>
            <w:shd w:val="clear" w:color="auto" w:fill="auto"/>
            <w:noWrap/>
            <w:vAlign w:val="center"/>
          </w:tcPr>
          <w:p>
            <w:pPr>
              <w:autoSpaceDE/>
              <w:autoSpaceDN/>
              <w:adjustRightInd/>
              <w:spacing w:line="440" w:lineRule="exact"/>
              <w:jc w:val="center"/>
              <w:rPr>
                <w:rFonts w:hint="eastAsia" w:ascii="宋体" w:hAnsi="宋体" w:eastAsia="宋体" w:cs="宋体"/>
                <w:color w:val="auto"/>
                <w:kern w:val="1"/>
                <w:sz w:val="21"/>
                <w:szCs w:val="21"/>
                <w:highlight w:val="none"/>
              </w:rPr>
            </w:pPr>
            <w:r>
              <w:rPr>
                <w:rFonts w:hint="eastAsia" w:ascii="宋体" w:hAnsi="宋体" w:eastAsia="宋体" w:cs="宋体"/>
                <w:color w:val="auto"/>
                <w:kern w:val="1"/>
                <w:sz w:val="21"/>
                <w:szCs w:val="21"/>
                <w:highlight w:val="none"/>
              </w:rPr>
              <w:t>15分</w:t>
            </w:r>
          </w:p>
        </w:tc>
        <w:tc>
          <w:tcPr>
            <w:tcW w:w="6726" w:type="dxa"/>
            <w:shd w:val="clear" w:color="auto" w:fill="auto"/>
            <w:noWrap/>
          </w:tcPr>
          <w:p>
            <w:pPr>
              <w:autoSpaceDE/>
              <w:autoSpaceDN/>
              <w:adjustRightInd/>
              <w:spacing w:line="440" w:lineRule="exact"/>
              <w:jc w:val="both"/>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rPr>
              <w:t>供应商自2019年1月1日以来（以合同签订的时间为准）承接的规划设计类项目，每提供一个有效合同业绩得3分，本项最高得15分。</w:t>
            </w:r>
          </w:p>
          <w:p>
            <w:pPr>
              <w:autoSpaceDE/>
              <w:autoSpaceDN/>
              <w:adjustRightInd/>
              <w:spacing w:line="440" w:lineRule="exact"/>
              <w:jc w:val="both"/>
              <w:rPr>
                <w:rFonts w:hint="eastAsia" w:ascii="宋体" w:hAnsi="宋体" w:eastAsia="宋体" w:cs="宋体"/>
                <w:color w:val="auto"/>
                <w:kern w:val="2"/>
                <w:sz w:val="21"/>
                <w:szCs w:val="21"/>
                <w:highlight w:val="none"/>
              </w:rPr>
            </w:pPr>
            <w:r>
              <w:rPr>
                <w:rFonts w:hint="eastAsia" w:ascii="宋体" w:hAnsi="宋体" w:eastAsia="宋体" w:cs="宋体"/>
                <w:b/>
                <w:bCs/>
                <w:color w:val="auto"/>
                <w:kern w:val="2"/>
                <w:sz w:val="21"/>
                <w:szCs w:val="21"/>
                <w:highlight w:val="none"/>
              </w:rPr>
              <w:t>注：须提供合同关键页复印件加盖供应商公章，以合同签订时间为准，一个合同为一项业绩，不可重复计分。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1" w:hRule="atLeast"/>
          <w:jc w:val="center"/>
        </w:trPr>
        <w:tc>
          <w:tcPr>
            <w:tcW w:w="752" w:type="dxa"/>
            <w:shd w:val="clear" w:color="auto" w:fill="auto"/>
            <w:noWrap/>
            <w:vAlign w:val="center"/>
          </w:tcPr>
          <w:p>
            <w:pPr>
              <w:autoSpaceDE/>
              <w:autoSpaceDN/>
              <w:adjustRightInd/>
              <w:spacing w:line="440" w:lineRule="exact"/>
              <w:jc w:val="center"/>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rPr>
              <w:t>2</w:t>
            </w:r>
          </w:p>
        </w:tc>
        <w:tc>
          <w:tcPr>
            <w:tcW w:w="778" w:type="dxa"/>
            <w:shd w:val="clear" w:color="auto" w:fill="auto"/>
            <w:noWrap/>
            <w:vAlign w:val="center"/>
          </w:tcPr>
          <w:p>
            <w:pPr>
              <w:spacing w:line="400" w:lineRule="exact"/>
              <w:jc w:val="center"/>
              <w:rPr>
                <w:rFonts w:hint="eastAsia" w:ascii="宋体" w:hAnsi="宋体" w:eastAsia="宋体" w:cs="宋体"/>
                <w:color w:val="auto"/>
                <w:kern w:val="2"/>
                <w:sz w:val="21"/>
                <w:szCs w:val="21"/>
                <w:highlight w:val="none"/>
              </w:rPr>
            </w:pPr>
            <w:r>
              <w:rPr>
                <w:rFonts w:hint="eastAsia" w:ascii="宋体" w:hAnsi="宋体" w:eastAsia="宋体" w:cs="宋体"/>
                <w:color w:val="auto"/>
                <w:sz w:val="21"/>
                <w:szCs w:val="21"/>
                <w:highlight w:val="none"/>
              </w:rPr>
              <w:t>获奖情况</w:t>
            </w:r>
          </w:p>
        </w:tc>
        <w:tc>
          <w:tcPr>
            <w:tcW w:w="675" w:type="dxa"/>
            <w:shd w:val="clear" w:color="auto" w:fill="auto"/>
            <w:noWrap/>
            <w:vAlign w:val="center"/>
          </w:tcPr>
          <w:p>
            <w:pPr>
              <w:spacing w:line="400" w:lineRule="exact"/>
              <w:jc w:val="center"/>
              <w:rPr>
                <w:rFonts w:hint="eastAsia" w:ascii="宋体" w:hAnsi="宋体" w:eastAsia="宋体" w:cs="宋体"/>
                <w:color w:val="auto"/>
                <w:kern w:val="1"/>
                <w:sz w:val="21"/>
                <w:szCs w:val="21"/>
                <w:highlight w:val="none"/>
              </w:rPr>
            </w:pPr>
            <w:r>
              <w:rPr>
                <w:rFonts w:hint="eastAsia" w:ascii="宋体" w:hAnsi="宋体" w:eastAsia="宋体" w:cs="宋体"/>
                <w:color w:val="auto"/>
                <w:sz w:val="21"/>
                <w:szCs w:val="21"/>
                <w:highlight w:val="none"/>
              </w:rPr>
              <w:t>8分</w:t>
            </w:r>
          </w:p>
        </w:tc>
        <w:tc>
          <w:tcPr>
            <w:tcW w:w="6726" w:type="dxa"/>
            <w:shd w:val="clear" w:color="auto" w:fill="auto"/>
            <w:noWrap/>
            <w:vAlign w:val="center"/>
          </w:tcPr>
          <w:p>
            <w:pPr>
              <w:widowControl/>
              <w:spacing w:line="360" w:lineRule="auto"/>
              <w:rPr>
                <w:rFonts w:hint="eastAsia" w:ascii="宋体" w:hAnsi="宋体" w:eastAsia="宋体" w:cs="宋体"/>
                <w:color w:val="auto"/>
                <w:sz w:val="21"/>
                <w:szCs w:val="21"/>
                <w:highlight w:val="none"/>
              </w:rPr>
            </w:pPr>
            <w:r>
              <w:rPr>
                <w:rFonts w:hint="eastAsia" w:ascii="宋体" w:hAnsi="宋体" w:eastAsia="宋体" w:cs="宋体"/>
                <w:color w:val="auto"/>
                <w:kern w:val="2"/>
                <w:sz w:val="21"/>
                <w:szCs w:val="21"/>
                <w:highlight w:val="none"/>
              </w:rPr>
              <w:t>供应商自2019年1月1日以来</w:t>
            </w:r>
            <w:r>
              <w:rPr>
                <w:rFonts w:hint="eastAsia" w:ascii="宋体" w:hAnsi="宋体" w:eastAsia="宋体" w:cs="宋体"/>
                <w:color w:val="auto"/>
                <w:sz w:val="21"/>
                <w:szCs w:val="21"/>
                <w:highlight w:val="none"/>
              </w:rPr>
              <w:t>（以获奖证书时间为准）</w:t>
            </w:r>
            <w:r>
              <w:rPr>
                <w:rFonts w:hint="eastAsia" w:ascii="宋体" w:hAnsi="宋体" w:eastAsia="宋体" w:cs="宋体"/>
                <w:color w:val="auto"/>
                <w:kern w:val="2"/>
                <w:sz w:val="21"/>
                <w:szCs w:val="21"/>
                <w:highlight w:val="none"/>
              </w:rPr>
              <w:t xml:space="preserve">，承接或参与的“规划类”项目获得行政主管部门、行业协会颁发的设计奖项: </w:t>
            </w:r>
            <w:r>
              <w:rPr>
                <w:rFonts w:hint="eastAsia" w:ascii="宋体" w:hAnsi="宋体" w:eastAsia="宋体" w:cs="宋体"/>
                <w:color w:val="auto"/>
                <w:sz w:val="21"/>
                <w:szCs w:val="21"/>
                <w:highlight w:val="none"/>
              </w:rPr>
              <w:t>①国家级（或部级）城市（乡）规划设计类奖项的，每提供一项得2分，最高得8分； ②省级城市（乡）规划设计类奖项的，每提供一项得1分，最高得4分。③市级城市（乡）规划设计类奖项的，每提供一项得0.5分，最高得2分。本项最高得8分。</w:t>
            </w:r>
          </w:p>
          <w:p>
            <w:pPr>
              <w:tabs>
                <w:tab w:val="left" w:pos="360"/>
              </w:tabs>
              <w:spacing w:line="400" w:lineRule="exact"/>
              <w:rPr>
                <w:rFonts w:hint="eastAsia" w:ascii="宋体" w:hAnsi="宋体" w:eastAsia="宋体" w:cs="宋体"/>
                <w:color w:val="auto"/>
                <w:kern w:val="2"/>
                <w:sz w:val="21"/>
                <w:szCs w:val="21"/>
                <w:highlight w:val="none"/>
              </w:rPr>
            </w:pPr>
            <w:r>
              <w:rPr>
                <w:rFonts w:hint="eastAsia" w:ascii="宋体" w:hAnsi="宋体" w:eastAsia="宋体" w:cs="宋体"/>
                <w:b/>
                <w:bCs/>
                <w:color w:val="auto"/>
                <w:sz w:val="21"/>
                <w:szCs w:val="21"/>
                <w:highlight w:val="none"/>
              </w:rPr>
              <w:t>注：若属于同一项目获得的多个奖项的，按最高分算，不重复计分。须提供奖项复印件加盖供应商公章作为证明材料。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10" w:hRule="atLeast"/>
          <w:jc w:val="center"/>
        </w:trPr>
        <w:tc>
          <w:tcPr>
            <w:tcW w:w="752" w:type="dxa"/>
            <w:shd w:val="clear" w:color="auto" w:fill="auto"/>
            <w:noWrap/>
            <w:vAlign w:val="center"/>
          </w:tcPr>
          <w:p>
            <w:pPr>
              <w:autoSpaceDE/>
              <w:autoSpaceDN/>
              <w:adjustRightInd/>
              <w:spacing w:line="440" w:lineRule="exact"/>
              <w:jc w:val="center"/>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1"/>
                <w:szCs w:val="21"/>
                <w:highlight w:val="none"/>
              </w:rPr>
              <w:t>3</w:t>
            </w:r>
          </w:p>
        </w:tc>
        <w:tc>
          <w:tcPr>
            <w:tcW w:w="778" w:type="dxa"/>
            <w:shd w:val="clear" w:color="auto" w:fill="auto"/>
            <w:noWrap/>
            <w:vAlign w:val="center"/>
          </w:tcPr>
          <w:p>
            <w:pPr>
              <w:spacing w:line="400" w:lineRule="exact"/>
              <w:jc w:val="center"/>
              <w:rPr>
                <w:rFonts w:hint="eastAsia" w:ascii="宋体" w:hAnsi="宋体" w:eastAsia="宋体" w:cs="宋体"/>
                <w:color w:val="auto"/>
                <w:kern w:val="2"/>
                <w:sz w:val="21"/>
                <w:szCs w:val="21"/>
                <w:highlight w:val="none"/>
              </w:rPr>
            </w:pPr>
            <w:r>
              <w:rPr>
                <w:rFonts w:hint="eastAsia" w:ascii="宋体" w:hAnsi="宋体" w:eastAsia="宋体" w:cs="宋体"/>
                <w:color w:val="auto"/>
                <w:sz w:val="21"/>
                <w:szCs w:val="21"/>
                <w:highlight w:val="none"/>
              </w:rPr>
              <w:t>拟派承接本项目服务人员情况</w:t>
            </w:r>
          </w:p>
        </w:tc>
        <w:tc>
          <w:tcPr>
            <w:tcW w:w="675" w:type="dxa"/>
            <w:shd w:val="clear" w:color="auto" w:fill="auto"/>
            <w:noWrap/>
            <w:vAlign w:val="center"/>
          </w:tcPr>
          <w:p>
            <w:pPr>
              <w:spacing w:line="400" w:lineRule="exact"/>
              <w:jc w:val="center"/>
              <w:rPr>
                <w:rFonts w:hint="eastAsia" w:ascii="宋体" w:hAnsi="宋体" w:eastAsia="宋体" w:cs="宋体"/>
                <w:color w:val="auto"/>
                <w:kern w:val="1"/>
                <w:sz w:val="21"/>
                <w:szCs w:val="21"/>
                <w:highlight w:val="none"/>
              </w:rPr>
            </w:pPr>
            <w:r>
              <w:rPr>
                <w:rFonts w:hint="eastAsia" w:ascii="宋体" w:hAnsi="宋体" w:eastAsia="宋体" w:cs="宋体"/>
                <w:color w:val="auto"/>
                <w:sz w:val="21"/>
                <w:szCs w:val="21"/>
                <w:highlight w:val="none"/>
              </w:rPr>
              <w:t>7分</w:t>
            </w:r>
          </w:p>
        </w:tc>
        <w:tc>
          <w:tcPr>
            <w:tcW w:w="6726" w:type="dxa"/>
            <w:shd w:val="clear" w:color="auto" w:fill="auto"/>
            <w:noWrap/>
            <w:vAlign w:val="center"/>
          </w:tcPr>
          <w:p>
            <w:pPr>
              <w:spacing w:line="360" w:lineRule="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拟安排的项目负责人情况（仅限一人）</w:t>
            </w:r>
          </w:p>
          <w:p>
            <w:pPr>
              <w:spacing w:line="360" w:lineRule="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（1）项目负责人具有城市（乡）规划类专业</w:t>
            </w:r>
            <w:r>
              <w:rPr>
                <w:rFonts w:hint="eastAsia" w:hAnsi="宋体" w:cs="宋体"/>
                <w:color w:val="auto"/>
                <w:sz w:val="21"/>
                <w:szCs w:val="21"/>
                <w:highlight w:val="none"/>
                <w:lang w:val="en-US" w:eastAsia="zh-CN"/>
              </w:rPr>
              <w:t>高级或以上</w:t>
            </w:r>
            <w:r>
              <w:rPr>
                <w:rFonts w:hint="eastAsia" w:ascii="宋体" w:hAnsi="宋体" w:eastAsia="宋体" w:cs="宋体"/>
                <w:color w:val="auto"/>
                <w:sz w:val="21"/>
                <w:szCs w:val="21"/>
                <w:highlight w:val="none"/>
              </w:rPr>
              <w:t>职称，且为注册城市规划师的，得5分；具有城市（乡）规划专业</w:t>
            </w:r>
            <w:r>
              <w:rPr>
                <w:rFonts w:hint="eastAsia" w:hAnsi="宋体" w:cs="宋体"/>
                <w:color w:val="auto"/>
                <w:sz w:val="21"/>
                <w:szCs w:val="21"/>
                <w:highlight w:val="none"/>
                <w:lang w:val="en-US" w:eastAsia="zh-CN"/>
              </w:rPr>
              <w:t>中级</w:t>
            </w:r>
            <w:r>
              <w:rPr>
                <w:rFonts w:hint="eastAsia" w:ascii="宋体" w:hAnsi="宋体" w:eastAsia="宋体" w:cs="宋体"/>
                <w:color w:val="auto"/>
                <w:sz w:val="21"/>
                <w:szCs w:val="21"/>
                <w:highlight w:val="none"/>
              </w:rPr>
              <w:t>职称职称，且为注册城市规划师的，得2分。本小项最高得5分。</w:t>
            </w:r>
          </w:p>
          <w:p>
            <w:pPr>
              <w:spacing w:line="360" w:lineRule="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项目负责人近五年以来（2019年1月1日至投标截止时间前，以获奖证书时间为准）参与的规划项目中，担任项目负责人或主要编制人员且获得国家级（或部级）城市（乡）规划设计类奖项的，得2分；担任项目负责人或主要编制人员且获得省级城市（乡）规划设计类奖项的，得1分，本小项最高得2分。</w:t>
            </w:r>
          </w:p>
          <w:p>
            <w:pPr>
              <w:tabs>
                <w:tab w:val="left" w:pos="360"/>
              </w:tabs>
              <w:spacing w:line="400" w:lineRule="exact"/>
              <w:rPr>
                <w:rFonts w:hint="eastAsia" w:ascii="宋体" w:hAnsi="宋体" w:eastAsia="宋体" w:cs="宋体"/>
                <w:color w:val="auto"/>
                <w:kern w:val="2"/>
                <w:sz w:val="21"/>
                <w:szCs w:val="21"/>
                <w:highlight w:val="none"/>
              </w:rPr>
            </w:pPr>
            <w:r>
              <w:rPr>
                <w:rFonts w:hint="eastAsia" w:ascii="宋体" w:hAnsi="宋体" w:eastAsia="宋体" w:cs="宋体"/>
                <w:b/>
                <w:bCs/>
                <w:color w:val="auto"/>
                <w:sz w:val="21"/>
                <w:szCs w:val="21"/>
                <w:highlight w:val="none"/>
              </w:rPr>
              <w:t>注：若属于同一项目获得的多个奖项的，按最高分算，不重复计分。须提供职称证书、注册资格证书、社保部门出具的开标当月（不含）前6个月任意一个月社保证明、获奖证书等证明材料复印件加盖供应商公章等。</w:t>
            </w:r>
          </w:p>
        </w:tc>
      </w:tr>
    </w:tbl>
    <w:p>
      <w:pPr>
        <w:pStyle w:val="86"/>
        <w:keepNext w:val="0"/>
        <w:tabs>
          <w:tab w:val="left" w:pos="0"/>
        </w:tabs>
        <w:spacing w:after="0" w:line="360" w:lineRule="auto"/>
        <w:rPr>
          <w:rFonts w:ascii="宋体" w:hAnsi="宋体"/>
          <w:b/>
          <w:color w:val="auto"/>
          <w:highlight w:val="none"/>
        </w:rPr>
      </w:pPr>
    </w:p>
    <w:p>
      <w:pPr>
        <w:pStyle w:val="86"/>
        <w:keepNext w:val="0"/>
        <w:numPr>
          <w:ilvl w:val="3"/>
          <w:numId w:val="24"/>
        </w:numPr>
        <w:tabs>
          <w:tab w:val="left" w:pos="0"/>
          <w:tab w:val="clear" w:pos="1620"/>
        </w:tabs>
        <w:spacing w:after="0" w:line="360" w:lineRule="auto"/>
        <w:ind w:left="360"/>
        <w:rPr>
          <w:rFonts w:ascii="宋体" w:hAnsi="宋体"/>
          <w:b/>
          <w:color w:val="auto"/>
          <w:highlight w:val="none"/>
        </w:rPr>
      </w:pPr>
      <w:r>
        <w:rPr>
          <w:rFonts w:hint="eastAsia" w:ascii="宋体" w:hAnsi="宋体"/>
          <w:b/>
          <w:color w:val="auto"/>
          <w:highlight w:val="none"/>
        </w:rPr>
        <w:t>技术评分标准：（总分：50分）</w:t>
      </w:r>
    </w:p>
    <w:tbl>
      <w:tblPr>
        <w:tblStyle w:val="48"/>
        <w:tblW w:w="893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52"/>
        <w:gridCol w:w="791"/>
        <w:gridCol w:w="662"/>
        <w:gridCol w:w="672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blHeader/>
          <w:jc w:val="center"/>
        </w:trPr>
        <w:tc>
          <w:tcPr>
            <w:tcW w:w="752" w:type="dxa"/>
            <w:noWrap/>
            <w:vAlign w:val="center"/>
          </w:tcPr>
          <w:p>
            <w:pPr>
              <w:autoSpaceDE/>
              <w:autoSpaceDN/>
              <w:adjustRightInd/>
              <w:spacing w:line="360" w:lineRule="auto"/>
              <w:jc w:val="center"/>
              <w:rPr>
                <w:rFonts w:hAnsi="宋体" w:cs="宋体"/>
                <w:b/>
                <w:color w:val="auto"/>
                <w:sz w:val="21"/>
                <w:szCs w:val="21"/>
                <w:highlight w:val="none"/>
              </w:rPr>
            </w:pPr>
            <w:r>
              <w:rPr>
                <w:rFonts w:hint="eastAsia" w:hAnsi="宋体" w:cs="宋体"/>
                <w:b/>
                <w:color w:val="auto"/>
                <w:sz w:val="21"/>
                <w:szCs w:val="21"/>
                <w:highlight w:val="none"/>
              </w:rPr>
              <w:t>序号</w:t>
            </w:r>
          </w:p>
        </w:tc>
        <w:tc>
          <w:tcPr>
            <w:tcW w:w="791" w:type="dxa"/>
            <w:noWrap/>
            <w:vAlign w:val="center"/>
          </w:tcPr>
          <w:p>
            <w:pPr>
              <w:autoSpaceDE/>
              <w:autoSpaceDN/>
              <w:adjustRightInd/>
              <w:spacing w:line="360" w:lineRule="auto"/>
              <w:jc w:val="center"/>
              <w:rPr>
                <w:rFonts w:hAnsi="宋体" w:cs="宋体"/>
                <w:b/>
                <w:color w:val="auto"/>
                <w:sz w:val="21"/>
                <w:szCs w:val="21"/>
                <w:highlight w:val="none"/>
              </w:rPr>
            </w:pPr>
            <w:r>
              <w:rPr>
                <w:rFonts w:hint="eastAsia" w:hAnsi="宋体" w:cs="宋体"/>
                <w:b/>
                <w:color w:val="auto"/>
                <w:sz w:val="21"/>
                <w:szCs w:val="21"/>
                <w:highlight w:val="none"/>
              </w:rPr>
              <w:t>评分内容</w:t>
            </w:r>
          </w:p>
        </w:tc>
        <w:tc>
          <w:tcPr>
            <w:tcW w:w="662" w:type="dxa"/>
            <w:noWrap/>
            <w:vAlign w:val="center"/>
          </w:tcPr>
          <w:p>
            <w:pPr>
              <w:autoSpaceDE/>
              <w:autoSpaceDN/>
              <w:adjustRightInd/>
              <w:spacing w:line="360" w:lineRule="auto"/>
              <w:jc w:val="center"/>
              <w:rPr>
                <w:rFonts w:hAnsi="宋体" w:cs="宋体"/>
                <w:b/>
                <w:color w:val="auto"/>
                <w:sz w:val="21"/>
                <w:szCs w:val="21"/>
                <w:highlight w:val="none"/>
              </w:rPr>
            </w:pPr>
            <w:r>
              <w:rPr>
                <w:rFonts w:hint="eastAsia" w:hAnsi="宋体" w:cs="宋体"/>
                <w:b/>
                <w:color w:val="auto"/>
                <w:sz w:val="21"/>
                <w:szCs w:val="21"/>
                <w:highlight w:val="none"/>
              </w:rPr>
              <w:t>分值</w:t>
            </w:r>
          </w:p>
        </w:tc>
        <w:tc>
          <w:tcPr>
            <w:tcW w:w="6726" w:type="dxa"/>
            <w:noWrap/>
            <w:vAlign w:val="center"/>
          </w:tcPr>
          <w:p>
            <w:pPr>
              <w:autoSpaceDE/>
              <w:autoSpaceDN/>
              <w:adjustRightInd/>
              <w:spacing w:line="360" w:lineRule="auto"/>
              <w:jc w:val="center"/>
              <w:rPr>
                <w:rFonts w:hAnsi="宋体" w:cs="宋体"/>
                <w:b/>
                <w:color w:val="auto"/>
                <w:sz w:val="21"/>
                <w:szCs w:val="21"/>
                <w:highlight w:val="none"/>
              </w:rPr>
            </w:pPr>
            <w:r>
              <w:rPr>
                <w:rFonts w:hint="eastAsia" w:hAnsi="宋体" w:cs="宋体"/>
                <w:b/>
                <w:color w:val="auto"/>
                <w:sz w:val="21"/>
                <w:szCs w:val="21"/>
                <w:highlight w:val="none"/>
              </w:rPr>
              <w:t>评分标准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52" w:type="dxa"/>
            <w:noWrap/>
            <w:vAlign w:val="center"/>
          </w:tcPr>
          <w:p>
            <w:pPr>
              <w:spacing w:line="360" w:lineRule="auto"/>
              <w:jc w:val="center"/>
              <w:rPr>
                <w:rFonts w:hAnsi="宋体" w:cs="宋体"/>
                <w:color w:val="auto"/>
                <w:kern w:val="2"/>
                <w:sz w:val="21"/>
                <w:szCs w:val="21"/>
                <w:highlight w:val="none"/>
              </w:rPr>
            </w:pPr>
            <w:r>
              <w:rPr>
                <w:rFonts w:hint="eastAsia" w:hAnsi="宋体" w:cs="宋体"/>
                <w:bCs/>
                <w:color w:val="auto"/>
                <w:sz w:val="21"/>
                <w:szCs w:val="21"/>
                <w:highlight w:val="none"/>
              </w:rPr>
              <w:t>1</w:t>
            </w:r>
          </w:p>
        </w:tc>
        <w:tc>
          <w:tcPr>
            <w:tcW w:w="791" w:type="dxa"/>
            <w:noWrap/>
            <w:vAlign w:val="center"/>
          </w:tcPr>
          <w:p>
            <w:pPr>
              <w:spacing w:line="360" w:lineRule="auto"/>
              <w:jc w:val="center"/>
              <w:rPr>
                <w:rFonts w:hAnsi="宋体" w:cs="宋体"/>
                <w:color w:val="auto"/>
                <w:kern w:val="2"/>
                <w:sz w:val="21"/>
                <w:szCs w:val="21"/>
                <w:highlight w:val="none"/>
              </w:rPr>
            </w:pPr>
            <w:r>
              <w:rPr>
                <w:rFonts w:hint="eastAsia" w:hAnsi="宋体" w:cs="宋体"/>
                <w:bCs/>
                <w:color w:val="auto"/>
                <w:sz w:val="21"/>
                <w:szCs w:val="21"/>
                <w:highlight w:val="none"/>
              </w:rPr>
              <w:t>项目理解</w:t>
            </w:r>
          </w:p>
        </w:tc>
        <w:tc>
          <w:tcPr>
            <w:tcW w:w="662" w:type="dxa"/>
            <w:noWrap/>
            <w:vAlign w:val="center"/>
          </w:tcPr>
          <w:p>
            <w:pPr>
              <w:spacing w:line="360" w:lineRule="auto"/>
              <w:jc w:val="center"/>
              <w:rPr>
                <w:rFonts w:hAnsi="宋体" w:cs="宋体"/>
                <w:color w:val="auto"/>
                <w:kern w:val="2"/>
                <w:sz w:val="21"/>
                <w:szCs w:val="21"/>
                <w:highlight w:val="none"/>
              </w:rPr>
            </w:pPr>
            <w:r>
              <w:rPr>
                <w:rFonts w:hAnsi="宋体" w:cs="宋体"/>
                <w:color w:val="auto"/>
                <w:sz w:val="21"/>
                <w:szCs w:val="21"/>
                <w:highlight w:val="none"/>
              </w:rPr>
              <w:t>10</w:t>
            </w:r>
            <w:r>
              <w:rPr>
                <w:rFonts w:hint="eastAsia" w:hAnsi="宋体" w:cs="宋体"/>
                <w:color w:val="auto"/>
                <w:sz w:val="21"/>
                <w:szCs w:val="21"/>
                <w:highlight w:val="none"/>
              </w:rPr>
              <w:t>分</w:t>
            </w:r>
          </w:p>
        </w:tc>
        <w:tc>
          <w:tcPr>
            <w:tcW w:w="6726" w:type="dxa"/>
            <w:noWrap/>
            <w:vAlign w:val="center"/>
          </w:tcPr>
          <w:p>
            <w:pPr>
              <w:widowControl/>
              <w:spacing w:line="360" w:lineRule="auto"/>
              <w:rPr>
                <w:rFonts w:hAnsi="宋体"/>
                <w:color w:val="auto"/>
                <w:sz w:val="21"/>
                <w:szCs w:val="21"/>
                <w:highlight w:val="none"/>
              </w:rPr>
            </w:pPr>
            <w:r>
              <w:rPr>
                <w:rFonts w:hint="eastAsia" w:hAnsi="宋体" w:cs="宋体"/>
                <w:color w:val="auto"/>
                <w:sz w:val="21"/>
                <w:szCs w:val="21"/>
                <w:highlight w:val="none"/>
                <w:lang w:val="zh-CN"/>
              </w:rPr>
              <w:t>根据</w:t>
            </w:r>
            <w:r>
              <w:rPr>
                <w:rFonts w:hint="eastAsia" w:hAnsi="宋体" w:cs="宋体"/>
                <w:color w:val="auto"/>
                <w:sz w:val="21"/>
                <w:szCs w:val="21"/>
                <w:highlight w:val="none"/>
              </w:rPr>
              <w:t>各</w:t>
            </w:r>
            <w:r>
              <w:rPr>
                <w:rFonts w:hint="eastAsia" w:hAnsi="宋体"/>
                <w:color w:val="auto"/>
                <w:sz w:val="21"/>
                <w:szCs w:val="21"/>
                <w:highlight w:val="none"/>
              </w:rPr>
              <w:t>供应商对本项目现场的熟悉程度、理解及项目重点和难点的分析，以及根据项目重点和难点所采取的措施等进行评价：</w:t>
            </w:r>
          </w:p>
          <w:p>
            <w:pPr>
              <w:widowControl/>
              <w:spacing w:line="360" w:lineRule="auto"/>
              <w:rPr>
                <w:rFonts w:hAnsi="宋体"/>
                <w:color w:val="auto"/>
                <w:sz w:val="21"/>
                <w:szCs w:val="21"/>
                <w:highlight w:val="none"/>
              </w:rPr>
            </w:pPr>
            <w:r>
              <w:rPr>
                <w:rFonts w:hint="eastAsia" w:hAnsi="宋体"/>
                <w:color w:val="auto"/>
                <w:sz w:val="21"/>
                <w:szCs w:val="21"/>
                <w:highlight w:val="none"/>
              </w:rPr>
              <w:t>（1）现场的熟悉程度深入，重点和难点分析清晰非常具体的，得</w:t>
            </w:r>
            <w:r>
              <w:rPr>
                <w:rFonts w:hAnsi="宋体"/>
                <w:color w:val="auto"/>
                <w:sz w:val="21"/>
                <w:szCs w:val="21"/>
                <w:highlight w:val="none"/>
              </w:rPr>
              <w:t>10</w:t>
            </w:r>
            <w:r>
              <w:rPr>
                <w:rFonts w:hint="eastAsia" w:hAnsi="宋体"/>
                <w:color w:val="auto"/>
                <w:sz w:val="21"/>
                <w:szCs w:val="21"/>
                <w:highlight w:val="none"/>
              </w:rPr>
              <w:t>分；</w:t>
            </w:r>
          </w:p>
          <w:p>
            <w:pPr>
              <w:widowControl/>
              <w:spacing w:line="360" w:lineRule="auto"/>
              <w:rPr>
                <w:rFonts w:hAnsi="宋体"/>
                <w:color w:val="auto"/>
                <w:sz w:val="21"/>
                <w:szCs w:val="21"/>
                <w:highlight w:val="none"/>
              </w:rPr>
            </w:pPr>
            <w:r>
              <w:rPr>
                <w:rFonts w:hint="eastAsia" w:hAnsi="宋体"/>
                <w:color w:val="auto"/>
                <w:sz w:val="21"/>
                <w:szCs w:val="21"/>
                <w:highlight w:val="none"/>
              </w:rPr>
              <w:t>（2）现场的熟悉程度深入，重点和难点分析清晰比较具体的，得8分；</w:t>
            </w:r>
          </w:p>
          <w:p>
            <w:pPr>
              <w:widowControl/>
              <w:spacing w:line="360" w:lineRule="auto"/>
              <w:rPr>
                <w:rFonts w:hAnsi="宋体"/>
                <w:color w:val="auto"/>
                <w:sz w:val="21"/>
                <w:szCs w:val="21"/>
                <w:highlight w:val="none"/>
              </w:rPr>
            </w:pPr>
            <w:r>
              <w:rPr>
                <w:rFonts w:hint="eastAsia" w:hAnsi="宋体"/>
                <w:color w:val="auto"/>
                <w:sz w:val="21"/>
                <w:szCs w:val="21"/>
                <w:highlight w:val="none"/>
              </w:rPr>
              <w:t>（3）现场的熟悉程度肤浅，重点和难点分析基本合理的，得6分；</w:t>
            </w:r>
          </w:p>
          <w:p>
            <w:pPr>
              <w:widowControl/>
              <w:spacing w:line="360" w:lineRule="auto"/>
              <w:rPr>
                <w:rFonts w:hAnsi="宋体"/>
                <w:color w:val="auto"/>
                <w:sz w:val="21"/>
                <w:szCs w:val="21"/>
                <w:highlight w:val="none"/>
              </w:rPr>
            </w:pPr>
            <w:r>
              <w:rPr>
                <w:rFonts w:hint="eastAsia" w:hAnsi="宋体"/>
                <w:color w:val="auto"/>
                <w:sz w:val="21"/>
                <w:szCs w:val="21"/>
                <w:highlight w:val="none"/>
              </w:rPr>
              <w:t>（4）现场的熟悉程度、重点和难点分析不清晰不具体的，得2分；</w:t>
            </w:r>
          </w:p>
          <w:p>
            <w:pPr>
              <w:spacing w:line="360" w:lineRule="auto"/>
              <w:rPr>
                <w:rFonts w:hAnsi="宋体" w:cs="宋体"/>
                <w:color w:val="auto"/>
                <w:kern w:val="2"/>
                <w:sz w:val="21"/>
                <w:szCs w:val="21"/>
                <w:highlight w:val="none"/>
              </w:rPr>
            </w:pPr>
            <w:r>
              <w:rPr>
                <w:rFonts w:hint="eastAsia" w:hAnsi="宋体"/>
                <w:color w:val="auto"/>
                <w:sz w:val="21"/>
                <w:szCs w:val="21"/>
                <w:highlight w:val="none"/>
              </w:rPr>
              <w:t>（5）未提供对应方案不得分。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0" w:hRule="atLeast"/>
          <w:jc w:val="center"/>
        </w:trPr>
        <w:tc>
          <w:tcPr>
            <w:tcW w:w="752" w:type="dxa"/>
            <w:noWrap/>
            <w:vAlign w:val="center"/>
          </w:tcPr>
          <w:p>
            <w:pPr>
              <w:spacing w:line="360" w:lineRule="auto"/>
              <w:jc w:val="center"/>
              <w:rPr>
                <w:rFonts w:hAnsi="宋体" w:cs="宋体"/>
                <w:color w:val="auto"/>
                <w:sz w:val="21"/>
                <w:szCs w:val="21"/>
                <w:highlight w:val="none"/>
              </w:rPr>
            </w:pPr>
            <w:r>
              <w:rPr>
                <w:rFonts w:hint="eastAsia" w:hAnsi="宋体" w:cs="宋体"/>
                <w:bCs/>
                <w:color w:val="auto"/>
                <w:sz w:val="21"/>
                <w:szCs w:val="21"/>
                <w:highlight w:val="none"/>
              </w:rPr>
              <w:t>2</w:t>
            </w:r>
          </w:p>
        </w:tc>
        <w:tc>
          <w:tcPr>
            <w:tcW w:w="791" w:type="dxa"/>
            <w:noWrap/>
            <w:vAlign w:val="center"/>
          </w:tcPr>
          <w:p>
            <w:pPr>
              <w:spacing w:line="360" w:lineRule="auto"/>
              <w:jc w:val="center"/>
              <w:rPr>
                <w:rFonts w:hAnsi="宋体" w:cs="宋体"/>
                <w:color w:val="auto"/>
                <w:kern w:val="2"/>
                <w:sz w:val="21"/>
                <w:szCs w:val="21"/>
                <w:highlight w:val="none"/>
              </w:rPr>
            </w:pPr>
            <w:r>
              <w:rPr>
                <w:rFonts w:hint="eastAsia" w:hAnsi="宋体" w:cs="宋体"/>
                <w:color w:val="auto"/>
                <w:sz w:val="21"/>
                <w:szCs w:val="21"/>
                <w:highlight w:val="none"/>
              </w:rPr>
              <w:t>服务方案</w:t>
            </w:r>
          </w:p>
        </w:tc>
        <w:tc>
          <w:tcPr>
            <w:tcW w:w="662" w:type="dxa"/>
            <w:noWrap/>
            <w:vAlign w:val="center"/>
          </w:tcPr>
          <w:p>
            <w:pPr>
              <w:spacing w:line="360" w:lineRule="auto"/>
              <w:jc w:val="center"/>
              <w:rPr>
                <w:rFonts w:hAnsi="宋体" w:cs="宋体"/>
                <w:color w:val="auto"/>
                <w:kern w:val="2"/>
                <w:sz w:val="21"/>
                <w:szCs w:val="21"/>
                <w:highlight w:val="none"/>
              </w:rPr>
            </w:pPr>
            <w:r>
              <w:rPr>
                <w:rFonts w:hint="eastAsia" w:hAnsi="宋体" w:cs="宋体"/>
                <w:color w:val="auto"/>
                <w:sz w:val="21"/>
                <w:szCs w:val="21"/>
                <w:highlight w:val="none"/>
                <w:lang w:val="en-US" w:eastAsia="zh-CN"/>
              </w:rPr>
              <w:t>10</w:t>
            </w:r>
            <w:r>
              <w:rPr>
                <w:rFonts w:hint="eastAsia" w:hAnsi="宋体" w:cs="宋体"/>
                <w:color w:val="auto"/>
                <w:sz w:val="21"/>
                <w:szCs w:val="21"/>
                <w:highlight w:val="none"/>
              </w:rPr>
              <w:t>分</w:t>
            </w:r>
          </w:p>
        </w:tc>
        <w:tc>
          <w:tcPr>
            <w:tcW w:w="6726" w:type="dxa"/>
            <w:noWrap/>
            <w:vAlign w:val="center"/>
          </w:tcPr>
          <w:p>
            <w:pPr>
              <w:spacing w:line="360" w:lineRule="auto"/>
              <w:rPr>
                <w:rFonts w:hAnsi="宋体" w:cs="宋体"/>
                <w:color w:val="auto"/>
                <w:sz w:val="21"/>
                <w:szCs w:val="21"/>
                <w:highlight w:val="none"/>
                <w:lang w:val="zh-CN"/>
              </w:rPr>
            </w:pPr>
            <w:r>
              <w:rPr>
                <w:rFonts w:hint="eastAsia" w:hAnsi="宋体" w:cs="宋体"/>
                <w:color w:val="auto"/>
                <w:sz w:val="21"/>
                <w:szCs w:val="21"/>
                <w:highlight w:val="none"/>
                <w:lang w:val="zh-CN"/>
              </w:rPr>
              <w:t>根据</w:t>
            </w:r>
            <w:r>
              <w:rPr>
                <w:rFonts w:hint="eastAsia" w:hAnsi="宋体" w:cs="宋体"/>
                <w:color w:val="auto"/>
                <w:sz w:val="21"/>
                <w:szCs w:val="21"/>
                <w:highlight w:val="none"/>
              </w:rPr>
              <w:t>各供应商</w:t>
            </w:r>
            <w:r>
              <w:rPr>
                <w:rFonts w:hint="eastAsia" w:hAnsi="宋体" w:cs="宋体"/>
                <w:color w:val="auto"/>
                <w:sz w:val="21"/>
                <w:szCs w:val="21"/>
                <w:highlight w:val="none"/>
                <w:lang w:val="zh-CN"/>
              </w:rPr>
              <w:t>制定的服务方案进行</w:t>
            </w:r>
            <w:r>
              <w:rPr>
                <w:rFonts w:hint="eastAsia" w:hAnsi="宋体" w:cs="宋体"/>
                <w:color w:val="auto"/>
                <w:sz w:val="21"/>
                <w:szCs w:val="21"/>
                <w:highlight w:val="none"/>
              </w:rPr>
              <w:t>总体</w:t>
            </w:r>
            <w:r>
              <w:rPr>
                <w:rFonts w:hint="eastAsia" w:hAnsi="宋体" w:cs="宋体"/>
                <w:color w:val="auto"/>
                <w:sz w:val="21"/>
                <w:szCs w:val="21"/>
                <w:highlight w:val="none"/>
                <w:lang w:val="zh-CN"/>
              </w:rPr>
              <w:t>综合评</w:t>
            </w:r>
            <w:r>
              <w:rPr>
                <w:rFonts w:hint="eastAsia" w:hAnsi="宋体" w:cs="宋体"/>
                <w:color w:val="auto"/>
                <w:sz w:val="21"/>
                <w:szCs w:val="21"/>
                <w:highlight w:val="none"/>
              </w:rPr>
              <w:t>价</w:t>
            </w:r>
            <w:r>
              <w:rPr>
                <w:rFonts w:hint="eastAsia" w:hAnsi="宋体" w:cs="宋体"/>
                <w:color w:val="auto"/>
                <w:sz w:val="21"/>
                <w:szCs w:val="21"/>
                <w:highlight w:val="none"/>
                <w:lang w:val="zh-CN"/>
              </w:rPr>
              <w:t>：</w:t>
            </w:r>
          </w:p>
          <w:p>
            <w:pPr>
              <w:spacing w:line="360" w:lineRule="auto"/>
              <w:rPr>
                <w:rFonts w:hAnsi="宋体" w:cs="宋体"/>
                <w:color w:val="auto"/>
                <w:sz w:val="21"/>
                <w:szCs w:val="21"/>
                <w:highlight w:val="none"/>
              </w:rPr>
            </w:pPr>
            <w:r>
              <w:rPr>
                <w:rFonts w:hint="eastAsia" w:hAnsi="宋体" w:cs="宋体"/>
                <w:color w:val="auto"/>
                <w:sz w:val="21"/>
                <w:szCs w:val="21"/>
                <w:highlight w:val="none"/>
              </w:rPr>
              <w:t>（1）服务方案内容非常全面、思路清晰，对本项目工作的重点、难点分析准确、透彻，对应措施可操作性强，服务计划完善、资源支持系统可靠的，得</w:t>
            </w:r>
            <w:r>
              <w:rPr>
                <w:rFonts w:hint="eastAsia" w:hAnsi="宋体" w:cs="宋体"/>
                <w:color w:val="auto"/>
                <w:sz w:val="21"/>
                <w:szCs w:val="21"/>
                <w:highlight w:val="none"/>
                <w:lang w:val="en-US" w:eastAsia="zh-CN"/>
              </w:rPr>
              <w:t>10</w:t>
            </w:r>
            <w:r>
              <w:rPr>
                <w:rFonts w:hint="eastAsia" w:hAnsi="宋体" w:cs="宋体"/>
                <w:color w:val="auto"/>
                <w:sz w:val="21"/>
                <w:szCs w:val="21"/>
                <w:highlight w:val="none"/>
              </w:rPr>
              <w:t>分；</w:t>
            </w:r>
          </w:p>
          <w:p>
            <w:pPr>
              <w:spacing w:line="360" w:lineRule="auto"/>
              <w:rPr>
                <w:rFonts w:hAnsi="宋体" w:cs="宋体"/>
                <w:color w:val="auto"/>
                <w:sz w:val="21"/>
                <w:szCs w:val="21"/>
                <w:highlight w:val="none"/>
              </w:rPr>
            </w:pPr>
            <w:r>
              <w:rPr>
                <w:rFonts w:hint="eastAsia" w:hAnsi="宋体" w:cs="宋体"/>
                <w:color w:val="auto"/>
                <w:sz w:val="21"/>
                <w:szCs w:val="21"/>
                <w:highlight w:val="none"/>
              </w:rPr>
              <w:t>（2）服务方案内容较比较全面，对本项目工作的重点分析基本准确、透彻，对应措施可操作性较强，服务计划、资源支持系统可靠的，得</w:t>
            </w:r>
            <w:r>
              <w:rPr>
                <w:rFonts w:hint="eastAsia" w:hAnsi="宋体" w:cs="宋体"/>
                <w:color w:val="auto"/>
                <w:sz w:val="21"/>
                <w:szCs w:val="21"/>
                <w:highlight w:val="none"/>
                <w:lang w:val="en-US" w:eastAsia="zh-CN"/>
              </w:rPr>
              <w:t>8</w:t>
            </w:r>
            <w:r>
              <w:rPr>
                <w:rFonts w:hint="eastAsia" w:hAnsi="宋体" w:cs="宋体"/>
                <w:color w:val="auto"/>
                <w:sz w:val="21"/>
                <w:szCs w:val="21"/>
                <w:highlight w:val="none"/>
              </w:rPr>
              <w:t>分；</w:t>
            </w:r>
          </w:p>
          <w:p>
            <w:pPr>
              <w:spacing w:line="360" w:lineRule="auto"/>
              <w:rPr>
                <w:rFonts w:hAnsi="宋体" w:cs="宋体"/>
                <w:color w:val="auto"/>
                <w:sz w:val="21"/>
                <w:szCs w:val="21"/>
                <w:highlight w:val="none"/>
              </w:rPr>
            </w:pPr>
            <w:r>
              <w:rPr>
                <w:rFonts w:hint="eastAsia" w:hAnsi="宋体" w:cs="宋体"/>
                <w:color w:val="auto"/>
                <w:sz w:val="21"/>
                <w:szCs w:val="21"/>
                <w:highlight w:val="none"/>
              </w:rPr>
              <w:t>（3）服务方案内容较一般、思路清晰度一般，对本项目工作的重点、难点分析准确性、透彻性一般，对应措施可操作性一般，服务计划完善性一般、资源支持系统可靠性一般的，得</w:t>
            </w:r>
            <w:r>
              <w:rPr>
                <w:rFonts w:hint="eastAsia" w:hAnsi="宋体" w:cs="宋体"/>
                <w:color w:val="auto"/>
                <w:sz w:val="21"/>
                <w:szCs w:val="21"/>
                <w:highlight w:val="none"/>
                <w:lang w:val="en-US" w:eastAsia="zh-CN"/>
              </w:rPr>
              <w:t>6</w:t>
            </w:r>
            <w:r>
              <w:rPr>
                <w:rFonts w:hint="eastAsia" w:hAnsi="宋体" w:cs="宋体"/>
                <w:color w:val="auto"/>
                <w:sz w:val="21"/>
                <w:szCs w:val="21"/>
                <w:highlight w:val="none"/>
              </w:rPr>
              <w:t>分；</w:t>
            </w:r>
          </w:p>
          <w:p>
            <w:pPr>
              <w:spacing w:line="360" w:lineRule="auto"/>
              <w:rPr>
                <w:rFonts w:hAnsi="宋体" w:cs="宋体"/>
                <w:color w:val="auto"/>
                <w:sz w:val="21"/>
                <w:szCs w:val="21"/>
                <w:highlight w:val="none"/>
              </w:rPr>
            </w:pPr>
            <w:r>
              <w:rPr>
                <w:rFonts w:hint="eastAsia" w:hAnsi="宋体" w:cs="宋体"/>
                <w:color w:val="auto"/>
                <w:sz w:val="21"/>
                <w:szCs w:val="21"/>
                <w:highlight w:val="none"/>
              </w:rPr>
              <w:t>（4）服务方案内容较差、思路清晰度较差，对本项目工作的重点、难点分析准确性、透彻性较差的，内容不完整的，得</w:t>
            </w:r>
            <w:r>
              <w:rPr>
                <w:rFonts w:hint="eastAsia" w:hAnsi="宋体" w:cs="宋体"/>
                <w:color w:val="auto"/>
                <w:sz w:val="21"/>
                <w:szCs w:val="21"/>
                <w:highlight w:val="none"/>
                <w:lang w:val="en-US" w:eastAsia="zh-CN"/>
              </w:rPr>
              <w:t>2</w:t>
            </w:r>
            <w:r>
              <w:rPr>
                <w:rFonts w:hint="eastAsia" w:hAnsi="宋体" w:cs="宋体"/>
                <w:color w:val="auto"/>
                <w:sz w:val="21"/>
                <w:szCs w:val="21"/>
                <w:highlight w:val="none"/>
              </w:rPr>
              <w:t>分；</w:t>
            </w:r>
          </w:p>
          <w:p>
            <w:pPr>
              <w:spacing w:line="360" w:lineRule="auto"/>
              <w:rPr>
                <w:rFonts w:hAnsi="宋体" w:cs="宋体"/>
                <w:color w:val="auto"/>
                <w:kern w:val="2"/>
                <w:sz w:val="21"/>
                <w:szCs w:val="21"/>
                <w:highlight w:val="none"/>
              </w:rPr>
            </w:pPr>
            <w:r>
              <w:rPr>
                <w:rFonts w:hint="eastAsia" w:hAnsi="宋体" w:cs="宋体"/>
                <w:color w:val="auto"/>
                <w:sz w:val="21"/>
                <w:szCs w:val="21"/>
                <w:highlight w:val="none"/>
              </w:rPr>
              <w:t>（5）</w:t>
            </w:r>
            <w:r>
              <w:rPr>
                <w:rFonts w:hint="eastAsia" w:hAnsi="宋体" w:cs="宋体"/>
                <w:color w:val="auto"/>
                <w:sz w:val="21"/>
                <w:szCs w:val="21"/>
                <w:highlight w:val="none"/>
                <w:lang w:val="zh-CN"/>
              </w:rPr>
              <w:t>未提供对应方案不得分。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4" w:hRule="atLeast"/>
          <w:jc w:val="center"/>
        </w:trPr>
        <w:tc>
          <w:tcPr>
            <w:tcW w:w="752" w:type="dxa"/>
            <w:noWrap/>
            <w:vAlign w:val="center"/>
          </w:tcPr>
          <w:p>
            <w:pPr>
              <w:spacing w:line="360" w:lineRule="auto"/>
              <w:jc w:val="center"/>
              <w:rPr>
                <w:rFonts w:hAnsi="宋体" w:cs="宋体"/>
                <w:color w:val="auto"/>
                <w:kern w:val="2"/>
                <w:sz w:val="21"/>
                <w:szCs w:val="21"/>
                <w:highlight w:val="none"/>
              </w:rPr>
            </w:pPr>
            <w:r>
              <w:rPr>
                <w:rFonts w:hAnsi="宋体" w:cs="宋体"/>
                <w:bCs/>
                <w:color w:val="auto"/>
                <w:sz w:val="21"/>
                <w:szCs w:val="21"/>
                <w:highlight w:val="none"/>
              </w:rPr>
              <w:t>3</w:t>
            </w:r>
          </w:p>
        </w:tc>
        <w:tc>
          <w:tcPr>
            <w:tcW w:w="791" w:type="dxa"/>
            <w:noWrap/>
            <w:vAlign w:val="center"/>
          </w:tcPr>
          <w:p>
            <w:pPr>
              <w:spacing w:line="360" w:lineRule="auto"/>
              <w:ind w:right="-34"/>
              <w:jc w:val="center"/>
              <w:rPr>
                <w:rFonts w:hAnsi="宋体"/>
                <w:color w:val="auto"/>
                <w:sz w:val="21"/>
                <w:szCs w:val="21"/>
                <w:highlight w:val="none"/>
              </w:rPr>
            </w:pPr>
            <w:r>
              <w:rPr>
                <w:rFonts w:hint="eastAsia" w:hAnsi="宋体"/>
                <w:color w:val="auto"/>
                <w:sz w:val="21"/>
                <w:szCs w:val="21"/>
                <w:highlight w:val="none"/>
              </w:rPr>
              <w:t>质量保证</w:t>
            </w:r>
          </w:p>
          <w:p>
            <w:pPr>
              <w:spacing w:line="360" w:lineRule="auto"/>
              <w:jc w:val="center"/>
              <w:rPr>
                <w:rFonts w:hAnsi="宋体" w:cs="宋体"/>
                <w:color w:val="auto"/>
                <w:kern w:val="2"/>
                <w:sz w:val="21"/>
                <w:szCs w:val="21"/>
                <w:highlight w:val="none"/>
              </w:rPr>
            </w:pPr>
            <w:r>
              <w:rPr>
                <w:rFonts w:hint="eastAsia" w:hAnsi="宋体"/>
                <w:color w:val="auto"/>
                <w:sz w:val="21"/>
                <w:szCs w:val="21"/>
                <w:highlight w:val="none"/>
              </w:rPr>
              <w:t>措施</w:t>
            </w:r>
          </w:p>
        </w:tc>
        <w:tc>
          <w:tcPr>
            <w:tcW w:w="662" w:type="dxa"/>
            <w:noWrap/>
            <w:vAlign w:val="center"/>
          </w:tcPr>
          <w:p>
            <w:pPr>
              <w:spacing w:line="360" w:lineRule="auto"/>
              <w:jc w:val="center"/>
              <w:rPr>
                <w:rFonts w:hAnsi="宋体" w:cs="宋体"/>
                <w:color w:val="auto"/>
                <w:kern w:val="2"/>
                <w:sz w:val="21"/>
                <w:szCs w:val="21"/>
                <w:highlight w:val="none"/>
              </w:rPr>
            </w:pPr>
            <w:r>
              <w:rPr>
                <w:rFonts w:hint="eastAsia" w:hAnsi="宋体" w:cs="宋体"/>
                <w:color w:val="auto"/>
                <w:sz w:val="21"/>
                <w:szCs w:val="21"/>
                <w:highlight w:val="none"/>
              </w:rPr>
              <w:t>10分</w:t>
            </w:r>
          </w:p>
        </w:tc>
        <w:tc>
          <w:tcPr>
            <w:tcW w:w="6726" w:type="dxa"/>
            <w:noWrap/>
            <w:vAlign w:val="center"/>
          </w:tcPr>
          <w:p>
            <w:pPr>
              <w:spacing w:line="360" w:lineRule="auto"/>
              <w:rPr>
                <w:rFonts w:hAnsi="宋体" w:cs="宋体"/>
                <w:color w:val="auto"/>
                <w:sz w:val="21"/>
                <w:szCs w:val="21"/>
                <w:highlight w:val="none"/>
              </w:rPr>
            </w:pPr>
            <w:r>
              <w:rPr>
                <w:rFonts w:hint="eastAsia" w:hAnsi="宋体" w:cs="宋体"/>
                <w:color w:val="auto"/>
                <w:sz w:val="21"/>
                <w:szCs w:val="21"/>
                <w:highlight w:val="none"/>
              </w:rPr>
              <w:t>根据各供应商提出的质量保证</w:t>
            </w:r>
            <w:r>
              <w:rPr>
                <w:rFonts w:hint="eastAsia" w:hAnsi="宋体"/>
                <w:color w:val="auto"/>
                <w:sz w:val="21"/>
                <w:szCs w:val="21"/>
                <w:highlight w:val="none"/>
              </w:rPr>
              <w:t>措施</w:t>
            </w:r>
            <w:r>
              <w:rPr>
                <w:rFonts w:hint="eastAsia" w:hAnsi="宋体" w:cs="宋体"/>
                <w:color w:val="auto"/>
                <w:sz w:val="21"/>
                <w:szCs w:val="21"/>
                <w:highlight w:val="none"/>
              </w:rPr>
              <w:t>情况进行综合评审：</w:t>
            </w:r>
          </w:p>
          <w:p>
            <w:pPr>
              <w:spacing w:line="360" w:lineRule="auto"/>
              <w:rPr>
                <w:rFonts w:hAnsi="宋体" w:cs="宋体"/>
                <w:color w:val="auto"/>
                <w:sz w:val="21"/>
                <w:szCs w:val="21"/>
                <w:highlight w:val="none"/>
              </w:rPr>
            </w:pPr>
            <w:r>
              <w:rPr>
                <w:rFonts w:hint="eastAsia" w:hAnsi="宋体" w:cs="宋体"/>
                <w:color w:val="auto"/>
                <w:sz w:val="21"/>
                <w:szCs w:val="21"/>
                <w:highlight w:val="none"/>
              </w:rPr>
              <w:t>（1）质量保证</w:t>
            </w:r>
            <w:r>
              <w:rPr>
                <w:rFonts w:hint="eastAsia" w:hAnsi="宋体"/>
                <w:color w:val="auto"/>
                <w:sz w:val="21"/>
                <w:szCs w:val="21"/>
                <w:highlight w:val="none"/>
              </w:rPr>
              <w:t>措施非常</w:t>
            </w:r>
            <w:r>
              <w:rPr>
                <w:rFonts w:hint="eastAsia" w:hAnsi="宋体" w:cs="宋体"/>
                <w:color w:val="auto"/>
                <w:sz w:val="21"/>
                <w:szCs w:val="21"/>
                <w:highlight w:val="none"/>
              </w:rPr>
              <w:t>具体合理、可行性强，人员安排全面、实力强的，得10分；</w:t>
            </w:r>
          </w:p>
          <w:p>
            <w:pPr>
              <w:spacing w:line="360" w:lineRule="auto"/>
              <w:rPr>
                <w:rFonts w:hAnsi="宋体" w:cs="宋体"/>
                <w:color w:val="auto"/>
                <w:sz w:val="21"/>
                <w:szCs w:val="21"/>
                <w:highlight w:val="none"/>
              </w:rPr>
            </w:pPr>
            <w:r>
              <w:rPr>
                <w:rFonts w:hint="eastAsia" w:hAnsi="宋体" w:cs="宋体"/>
                <w:color w:val="auto"/>
                <w:sz w:val="21"/>
                <w:szCs w:val="21"/>
                <w:highlight w:val="none"/>
              </w:rPr>
              <w:t>（2）质量保证</w:t>
            </w:r>
            <w:r>
              <w:rPr>
                <w:rFonts w:hint="eastAsia" w:hAnsi="宋体"/>
                <w:color w:val="auto"/>
                <w:sz w:val="21"/>
                <w:szCs w:val="21"/>
                <w:highlight w:val="none"/>
              </w:rPr>
              <w:t>措施</w:t>
            </w:r>
            <w:r>
              <w:rPr>
                <w:rFonts w:hint="eastAsia" w:hAnsi="宋体" w:cs="宋体"/>
                <w:color w:val="auto"/>
                <w:sz w:val="21"/>
                <w:szCs w:val="21"/>
                <w:highlight w:val="none"/>
              </w:rPr>
              <w:t>比较合理、可行性较强，人员安排比较全面、实力强的，得8分；</w:t>
            </w:r>
          </w:p>
          <w:p>
            <w:pPr>
              <w:spacing w:line="360" w:lineRule="auto"/>
              <w:rPr>
                <w:rFonts w:hAnsi="宋体" w:cs="宋体"/>
                <w:color w:val="auto"/>
                <w:sz w:val="21"/>
                <w:szCs w:val="21"/>
                <w:highlight w:val="none"/>
              </w:rPr>
            </w:pPr>
            <w:r>
              <w:rPr>
                <w:rFonts w:hint="eastAsia" w:hAnsi="宋体" w:cs="宋体"/>
                <w:color w:val="auto"/>
                <w:sz w:val="21"/>
                <w:szCs w:val="21"/>
                <w:highlight w:val="none"/>
              </w:rPr>
              <w:t>（3）质量保证</w:t>
            </w:r>
            <w:r>
              <w:rPr>
                <w:rFonts w:hint="eastAsia" w:hAnsi="宋体"/>
                <w:color w:val="auto"/>
                <w:sz w:val="21"/>
                <w:szCs w:val="21"/>
                <w:highlight w:val="none"/>
              </w:rPr>
              <w:t>措施</w:t>
            </w:r>
            <w:r>
              <w:rPr>
                <w:rFonts w:hint="eastAsia" w:hAnsi="宋体" w:cs="宋体"/>
                <w:color w:val="auto"/>
                <w:sz w:val="21"/>
                <w:szCs w:val="21"/>
                <w:highlight w:val="none"/>
              </w:rPr>
              <w:t>具体一般、可行性一般，人员安排一般的，得6分；</w:t>
            </w:r>
          </w:p>
          <w:p>
            <w:pPr>
              <w:spacing w:line="360" w:lineRule="auto"/>
              <w:rPr>
                <w:rFonts w:hAnsi="宋体" w:cs="宋体"/>
                <w:color w:val="auto"/>
                <w:sz w:val="21"/>
                <w:szCs w:val="21"/>
                <w:highlight w:val="none"/>
              </w:rPr>
            </w:pPr>
            <w:r>
              <w:rPr>
                <w:rFonts w:hint="eastAsia" w:hAnsi="宋体" w:cs="宋体"/>
                <w:color w:val="auto"/>
                <w:sz w:val="21"/>
                <w:szCs w:val="21"/>
                <w:highlight w:val="none"/>
              </w:rPr>
              <w:t>（4）质量保证</w:t>
            </w:r>
            <w:r>
              <w:rPr>
                <w:rFonts w:hint="eastAsia" w:hAnsi="宋体"/>
                <w:color w:val="auto"/>
                <w:sz w:val="21"/>
                <w:szCs w:val="21"/>
                <w:highlight w:val="none"/>
              </w:rPr>
              <w:t>措施</w:t>
            </w:r>
            <w:r>
              <w:rPr>
                <w:rFonts w:hint="eastAsia" w:hAnsi="宋体" w:cs="宋体"/>
                <w:color w:val="auto"/>
                <w:sz w:val="21"/>
                <w:szCs w:val="21"/>
                <w:highlight w:val="none"/>
              </w:rPr>
              <w:t>具体较差、可行性较差，人员安排较差的，得2分；</w:t>
            </w:r>
          </w:p>
          <w:p>
            <w:pPr>
              <w:spacing w:line="360" w:lineRule="auto"/>
              <w:rPr>
                <w:rFonts w:hAnsi="宋体" w:cs="宋体"/>
                <w:color w:val="auto"/>
                <w:kern w:val="2"/>
                <w:sz w:val="21"/>
                <w:szCs w:val="21"/>
                <w:highlight w:val="none"/>
              </w:rPr>
            </w:pPr>
            <w:r>
              <w:rPr>
                <w:rFonts w:hint="eastAsia" w:hAnsi="宋体" w:cs="宋体"/>
                <w:color w:val="auto"/>
                <w:sz w:val="21"/>
                <w:szCs w:val="21"/>
                <w:highlight w:val="none"/>
              </w:rPr>
              <w:t>（5）</w:t>
            </w:r>
            <w:r>
              <w:rPr>
                <w:rFonts w:hint="eastAsia" w:hAnsi="宋体" w:cs="宋体"/>
                <w:color w:val="auto"/>
                <w:sz w:val="21"/>
                <w:szCs w:val="21"/>
                <w:highlight w:val="none"/>
                <w:lang w:val="zh-CN"/>
              </w:rPr>
              <w:t>未提供对应方案不得分。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4" w:hRule="atLeast"/>
          <w:jc w:val="center"/>
        </w:trPr>
        <w:tc>
          <w:tcPr>
            <w:tcW w:w="752" w:type="dxa"/>
            <w:noWrap/>
            <w:vAlign w:val="center"/>
          </w:tcPr>
          <w:p>
            <w:pPr>
              <w:spacing w:line="360" w:lineRule="auto"/>
              <w:jc w:val="center"/>
              <w:rPr>
                <w:rFonts w:hAnsi="宋体" w:cs="宋体"/>
                <w:color w:val="auto"/>
                <w:kern w:val="2"/>
                <w:sz w:val="21"/>
                <w:szCs w:val="21"/>
                <w:highlight w:val="none"/>
              </w:rPr>
            </w:pPr>
            <w:r>
              <w:rPr>
                <w:rFonts w:hAnsi="宋体" w:cs="宋体"/>
                <w:bCs/>
                <w:color w:val="auto"/>
                <w:sz w:val="21"/>
                <w:szCs w:val="21"/>
                <w:highlight w:val="none"/>
              </w:rPr>
              <w:t>4</w:t>
            </w:r>
          </w:p>
        </w:tc>
        <w:tc>
          <w:tcPr>
            <w:tcW w:w="791" w:type="dxa"/>
            <w:noWrap/>
            <w:vAlign w:val="center"/>
          </w:tcPr>
          <w:p>
            <w:pPr>
              <w:spacing w:line="360" w:lineRule="auto"/>
              <w:jc w:val="center"/>
              <w:rPr>
                <w:rFonts w:hAnsi="宋体" w:cs="宋体"/>
                <w:color w:val="auto"/>
                <w:kern w:val="2"/>
                <w:sz w:val="21"/>
                <w:szCs w:val="21"/>
                <w:highlight w:val="none"/>
              </w:rPr>
            </w:pPr>
            <w:r>
              <w:rPr>
                <w:rFonts w:hint="eastAsia" w:hAnsi="宋体"/>
                <w:color w:val="auto"/>
                <w:sz w:val="21"/>
                <w:szCs w:val="21"/>
                <w:highlight w:val="none"/>
              </w:rPr>
              <w:t>项目完成后的服务承诺</w:t>
            </w:r>
          </w:p>
        </w:tc>
        <w:tc>
          <w:tcPr>
            <w:tcW w:w="662" w:type="dxa"/>
            <w:noWrap/>
            <w:vAlign w:val="center"/>
          </w:tcPr>
          <w:p>
            <w:pPr>
              <w:spacing w:line="360" w:lineRule="auto"/>
              <w:jc w:val="center"/>
              <w:rPr>
                <w:rFonts w:hAnsi="宋体" w:cs="宋体"/>
                <w:color w:val="auto"/>
                <w:kern w:val="2"/>
                <w:sz w:val="21"/>
                <w:szCs w:val="21"/>
                <w:highlight w:val="none"/>
              </w:rPr>
            </w:pPr>
            <w:r>
              <w:rPr>
                <w:rFonts w:hAnsi="宋体" w:cs="宋体"/>
                <w:color w:val="auto"/>
                <w:sz w:val="21"/>
                <w:szCs w:val="21"/>
                <w:highlight w:val="none"/>
              </w:rPr>
              <w:t>10</w:t>
            </w:r>
            <w:r>
              <w:rPr>
                <w:rFonts w:hint="eastAsia" w:hAnsi="宋体" w:cs="宋体"/>
                <w:color w:val="auto"/>
                <w:sz w:val="21"/>
                <w:szCs w:val="21"/>
                <w:highlight w:val="none"/>
              </w:rPr>
              <w:t>分</w:t>
            </w:r>
          </w:p>
        </w:tc>
        <w:tc>
          <w:tcPr>
            <w:tcW w:w="6726" w:type="dxa"/>
            <w:noWrap/>
            <w:vAlign w:val="center"/>
          </w:tcPr>
          <w:p>
            <w:pPr>
              <w:spacing w:line="360" w:lineRule="auto"/>
              <w:rPr>
                <w:rFonts w:hAnsi="宋体" w:cs="宋体"/>
                <w:color w:val="auto"/>
                <w:sz w:val="21"/>
                <w:szCs w:val="21"/>
                <w:highlight w:val="none"/>
              </w:rPr>
            </w:pPr>
            <w:r>
              <w:rPr>
                <w:rFonts w:hint="eastAsia" w:hAnsi="宋体" w:cs="宋体"/>
                <w:color w:val="auto"/>
                <w:sz w:val="21"/>
                <w:szCs w:val="21"/>
                <w:highlight w:val="none"/>
              </w:rPr>
              <w:t>根据各供应商制定的项目完成后的服务承诺方案进行综合评审：</w:t>
            </w:r>
          </w:p>
          <w:p>
            <w:pPr>
              <w:spacing w:line="360" w:lineRule="auto"/>
              <w:rPr>
                <w:rFonts w:hAnsi="宋体" w:cs="宋体"/>
                <w:color w:val="auto"/>
                <w:sz w:val="21"/>
                <w:szCs w:val="21"/>
                <w:highlight w:val="none"/>
              </w:rPr>
            </w:pPr>
            <w:r>
              <w:rPr>
                <w:rFonts w:hint="eastAsia" w:hAnsi="宋体" w:cs="宋体"/>
                <w:color w:val="auto"/>
                <w:sz w:val="21"/>
                <w:szCs w:val="21"/>
                <w:highlight w:val="none"/>
              </w:rPr>
              <w:t>（1）提供承诺方案非常到位、内容非常详细的，得</w:t>
            </w:r>
            <w:r>
              <w:rPr>
                <w:rFonts w:hAnsi="宋体" w:cs="宋体"/>
                <w:color w:val="auto"/>
                <w:sz w:val="21"/>
                <w:szCs w:val="21"/>
                <w:highlight w:val="none"/>
              </w:rPr>
              <w:t>10</w:t>
            </w:r>
            <w:r>
              <w:rPr>
                <w:rFonts w:hint="eastAsia" w:hAnsi="宋体" w:cs="宋体"/>
                <w:color w:val="auto"/>
                <w:sz w:val="21"/>
                <w:szCs w:val="21"/>
                <w:highlight w:val="none"/>
              </w:rPr>
              <w:t>分。</w:t>
            </w:r>
          </w:p>
          <w:p>
            <w:pPr>
              <w:spacing w:line="360" w:lineRule="auto"/>
              <w:rPr>
                <w:rFonts w:hAnsi="宋体" w:cs="宋体"/>
                <w:color w:val="auto"/>
                <w:sz w:val="21"/>
                <w:szCs w:val="21"/>
                <w:highlight w:val="none"/>
              </w:rPr>
            </w:pPr>
            <w:r>
              <w:rPr>
                <w:rFonts w:hint="eastAsia" w:hAnsi="宋体" w:cs="宋体"/>
                <w:color w:val="auto"/>
                <w:sz w:val="21"/>
                <w:szCs w:val="21"/>
                <w:highlight w:val="none"/>
              </w:rPr>
              <w:t>（2）提供承诺方案比较到位、内容比较详细的，得</w:t>
            </w:r>
            <w:r>
              <w:rPr>
                <w:rFonts w:hAnsi="宋体" w:cs="宋体"/>
                <w:color w:val="auto"/>
                <w:sz w:val="21"/>
                <w:szCs w:val="21"/>
                <w:highlight w:val="none"/>
              </w:rPr>
              <w:t>8</w:t>
            </w:r>
            <w:r>
              <w:rPr>
                <w:rFonts w:hint="eastAsia" w:hAnsi="宋体" w:cs="宋体"/>
                <w:color w:val="auto"/>
                <w:sz w:val="21"/>
                <w:szCs w:val="21"/>
                <w:highlight w:val="none"/>
              </w:rPr>
              <w:t>分；</w:t>
            </w:r>
          </w:p>
          <w:p>
            <w:pPr>
              <w:spacing w:line="360" w:lineRule="auto"/>
              <w:rPr>
                <w:rFonts w:hAnsi="宋体" w:cs="宋体"/>
                <w:color w:val="auto"/>
                <w:sz w:val="21"/>
                <w:szCs w:val="21"/>
                <w:highlight w:val="none"/>
              </w:rPr>
            </w:pPr>
            <w:r>
              <w:rPr>
                <w:rFonts w:hint="eastAsia" w:hAnsi="宋体" w:cs="宋体"/>
                <w:color w:val="auto"/>
                <w:sz w:val="21"/>
                <w:szCs w:val="21"/>
                <w:highlight w:val="none"/>
              </w:rPr>
              <w:t>（3）提供承诺方案一般、内容基本详细的，得</w:t>
            </w:r>
            <w:r>
              <w:rPr>
                <w:rFonts w:hAnsi="宋体" w:cs="宋体"/>
                <w:color w:val="auto"/>
                <w:sz w:val="21"/>
                <w:szCs w:val="21"/>
                <w:highlight w:val="none"/>
              </w:rPr>
              <w:t>6</w:t>
            </w:r>
            <w:r>
              <w:rPr>
                <w:rFonts w:hint="eastAsia" w:hAnsi="宋体" w:cs="宋体"/>
                <w:color w:val="auto"/>
                <w:sz w:val="21"/>
                <w:szCs w:val="21"/>
                <w:highlight w:val="none"/>
              </w:rPr>
              <w:t>分；</w:t>
            </w:r>
          </w:p>
          <w:p>
            <w:pPr>
              <w:spacing w:line="360" w:lineRule="auto"/>
              <w:rPr>
                <w:rFonts w:hAnsi="宋体" w:cs="宋体"/>
                <w:color w:val="auto"/>
                <w:sz w:val="21"/>
                <w:szCs w:val="21"/>
                <w:highlight w:val="none"/>
              </w:rPr>
            </w:pPr>
            <w:r>
              <w:rPr>
                <w:rFonts w:hint="eastAsia" w:hAnsi="宋体" w:cs="宋体"/>
                <w:color w:val="auto"/>
                <w:sz w:val="21"/>
                <w:szCs w:val="21"/>
                <w:highlight w:val="none"/>
              </w:rPr>
              <w:t>（4）提供承诺方案不够到位、内容比较简单的，得</w:t>
            </w:r>
            <w:r>
              <w:rPr>
                <w:rFonts w:hAnsi="宋体" w:cs="宋体"/>
                <w:color w:val="auto"/>
                <w:sz w:val="21"/>
                <w:szCs w:val="21"/>
                <w:highlight w:val="none"/>
              </w:rPr>
              <w:t>2</w:t>
            </w:r>
            <w:r>
              <w:rPr>
                <w:rFonts w:hint="eastAsia" w:hAnsi="宋体" w:cs="宋体"/>
                <w:color w:val="auto"/>
                <w:sz w:val="21"/>
                <w:szCs w:val="21"/>
                <w:highlight w:val="none"/>
              </w:rPr>
              <w:t>分；</w:t>
            </w:r>
          </w:p>
          <w:p>
            <w:pPr>
              <w:spacing w:line="360" w:lineRule="auto"/>
              <w:rPr>
                <w:rFonts w:hAnsi="宋体" w:cs="宋体"/>
                <w:color w:val="auto"/>
                <w:kern w:val="2"/>
                <w:sz w:val="21"/>
                <w:szCs w:val="21"/>
                <w:highlight w:val="none"/>
              </w:rPr>
            </w:pPr>
            <w:r>
              <w:rPr>
                <w:rFonts w:hint="eastAsia" w:hAnsi="宋体" w:cs="宋体"/>
                <w:color w:val="auto"/>
                <w:sz w:val="21"/>
                <w:szCs w:val="21"/>
                <w:highlight w:val="none"/>
              </w:rPr>
              <w:t>（5）未提供对应方案不得分。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4" w:hRule="atLeast"/>
          <w:jc w:val="center"/>
        </w:trPr>
        <w:tc>
          <w:tcPr>
            <w:tcW w:w="752" w:type="dxa"/>
            <w:noWrap/>
            <w:vAlign w:val="center"/>
          </w:tcPr>
          <w:p>
            <w:pPr>
              <w:spacing w:line="360" w:lineRule="auto"/>
              <w:jc w:val="center"/>
              <w:rPr>
                <w:rFonts w:hint="eastAsia" w:hAnsi="宋体" w:eastAsia="宋体" w:cs="宋体"/>
                <w:bCs/>
                <w:color w:val="auto"/>
                <w:sz w:val="21"/>
                <w:szCs w:val="21"/>
                <w:highlight w:val="none"/>
                <w:lang w:val="en-US" w:eastAsia="zh-CN"/>
              </w:rPr>
            </w:pPr>
            <w:r>
              <w:rPr>
                <w:rFonts w:hint="eastAsia" w:hAnsi="宋体" w:cs="宋体"/>
                <w:bCs/>
                <w:color w:val="auto"/>
                <w:sz w:val="21"/>
                <w:szCs w:val="21"/>
                <w:highlight w:val="none"/>
                <w:lang w:val="en-US" w:eastAsia="zh-CN"/>
              </w:rPr>
              <w:t>5</w:t>
            </w:r>
          </w:p>
        </w:tc>
        <w:tc>
          <w:tcPr>
            <w:tcW w:w="791" w:type="dxa"/>
            <w:noWrap/>
            <w:vAlign w:val="center"/>
          </w:tcPr>
          <w:p>
            <w:pPr>
              <w:spacing w:line="360" w:lineRule="auto"/>
              <w:jc w:val="center"/>
              <w:rPr>
                <w:rFonts w:hint="eastAsia" w:hAnsi="宋体"/>
                <w:color w:val="auto"/>
                <w:sz w:val="21"/>
                <w:szCs w:val="21"/>
                <w:highlight w:val="none"/>
              </w:rPr>
            </w:pPr>
            <w:r>
              <w:rPr>
                <w:rFonts w:hint="eastAsia" w:hAnsi="宋体"/>
                <w:color w:val="auto"/>
                <w:sz w:val="21"/>
                <w:szCs w:val="21"/>
                <w:highlight w:val="none"/>
              </w:rPr>
              <w:t>合理化建议</w:t>
            </w:r>
          </w:p>
        </w:tc>
        <w:tc>
          <w:tcPr>
            <w:tcW w:w="662" w:type="dxa"/>
            <w:noWrap/>
            <w:vAlign w:val="center"/>
          </w:tcPr>
          <w:p>
            <w:pPr>
              <w:spacing w:line="360" w:lineRule="auto"/>
              <w:jc w:val="center"/>
              <w:rPr>
                <w:rFonts w:hAnsi="宋体" w:cs="宋体"/>
                <w:color w:val="auto"/>
                <w:sz w:val="21"/>
                <w:szCs w:val="21"/>
                <w:highlight w:val="none"/>
              </w:rPr>
            </w:pPr>
            <w:r>
              <w:rPr>
                <w:rFonts w:hAnsi="宋体" w:cs="宋体"/>
                <w:color w:val="auto"/>
                <w:sz w:val="21"/>
                <w:szCs w:val="21"/>
                <w:highlight w:val="none"/>
              </w:rPr>
              <w:t>10</w:t>
            </w:r>
            <w:r>
              <w:rPr>
                <w:rFonts w:hint="eastAsia" w:hAnsi="宋体" w:cs="宋体"/>
                <w:color w:val="auto"/>
                <w:sz w:val="21"/>
                <w:szCs w:val="21"/>
                <w:highlight w:val="none"/>
              </w:rPr>
              <w:t>分</w:t>
            </w:r>
          </w:p>
        </w:tc>
        <w:tc>
          <w:tcPr>
            <w:tcW w:w="6726" w:type="dxa"/>
            <w:noWrap/>
            <w:vAlign w:val="center"/>
          </w:tcPr>
          <w:p>
            <w:pPr>
              <w:numPr>
                <w:ilvl w:val="0"/>
                <w:numId w:val="0"/>
              </w:numPr>
              <w:spacing w:line="360" w:lineRule="auto"/>
              <w:rPr>
                <w:rFonts w:hint="eastAsia" w:hAnsi="宋体" w:cs="宋体"/>
                <w:color w:val="auto"/>
                <w:sz w:val="21"/>
                <w:szCs w:val="21"/>
                <w:highlight w:val="none"/>
              </w:rPr>
            </w:pPr>
            <w:r>
              <w:rPr>
                <w:rFonts w:hint="eastAsia" w:hAnsi="宋体" w:cs="宋体"/>
                <w:color w:val="auto"/>
                <w:sz w:val="21"/>
                <w:szCs w:val="21"/>
                <w:highlight w:val="none"/>
              </w:rPr>
              <w:t>根据各供应商</w:t>
            </w:r>
            <w:r>
              <w:rPr>
                <w:rFonts w:hint="eastAsia" w:hAnsi="宋体" w:cs="宋体"/>
                <w:color w:val="auto"/>
                <w:sz w:val="21"/>
                <w:szCs w:val="21"/>
                <w:highlight w:val="none"/>
                <w:lang w:val="en-US" w:eastAsia="zh-CN"/>
              </w:rPr>
              <w:t>针对本</w:t>
            </w:r>
            <w:r>
              <w:rPr>
                <w:rFonts w:hint="eastAsia" w:hAnsi="宋体" w:cs="宋体"/>
                <w:color w:val="auto"/>
                <w:sz w:val="21"/>
                <w:szCs w:val="21"/>
                <w:highlight w:val="none"/>
              </w:rPr>
              <w:t>项目有效推进提出合理化建议</w:t>
            </w:r>
            <w:r>
              <w:rPr>
                <w:rFonts w:hint="eastAsia" w:hAnsi="宋体" w:cs="宋体"/>
                <w:color w:val="auto"/>
                <w:sz w:val="21"/>
                <w:szCs w:val="21"/>
                <w:highlight w:val="none"/>
                <w:lang w:eastAsia="zh-CN"/>
              </w:rPr>
              <w:t>，</w:t>
            </w:r>
            <w:r>
              <w:rPr>
                <w:rFonts w:hint="eastAsia" w:hAnsi="宋体" w:cs="宋体"/>
                <w:color w:val="auto"/>
                <w:sz w:val="21"/>
                <w:szCs w:val="21"/>
                <w:highlight w:val="none"/>
              </w:rPr>
              <w:t>实行建议的可行性、科学性程度进行综合评审：</w:t>
            </w:r>
          </w:p>
          <w:p>
            <w:pPr>
              <w:numPr>
                <w:ilvl w:val="0"/>
                <w:numId w:val="0"/>
              </w:numPr>
              <w:spacing w:line="360" w:lineRule="auto"/>
              <w:rPr>
                <w:rFonts w:hint="eastAsia" w:hAnsi="宋体" w:cs="宋体"/>
                <w:color w:val="auto"/>
                <w:sz w:val="21"/>
                <w:szCs w:val="21"/>
                <w:highlight w:val="none"/>
              </w:rPr>
            </w:pPr>
            <w:r>
              <w:rPr>
                <w:rFonts w:hint="eastAsia" w:ascii="宋体" w:hAnsi="宋体" w:eastAsia="宋体" w:cs="宋体"/>
                <w:color w:val="auto"/>
                <w:sz w:val="21"/>
                <w:szCs w:val="21"/>
                <w:highlight w:val="none"/>
                <w:lang w:val="en-US" w:eastAsia="zh-CN" w:bidi="ar-SA"/>
              </w:rPr>
              <w:t>（1）</w:t>
            </w:r>
            <w:r>
              <w:rPr>
                <w:rFonts w:hint="eastAsia" w:hAnsi="宋体" w:cs="宋体"/>
                <w:color w:val="auto"/>
                <w:sz w:val="21"/>
                <w:szCs w:val="21"/>
                <w:highlight w:val="none"/>
              </w:rPr>
              <w:t>提出的建议</w:t>
            </w:r>
            <w:r>
              <w:rPr>
                <w:rFonts w:hint="eastAsia" w:hAnsi="宋体" w:cs="宋体"/>
                <w:color w:val="auto"/>
                <w:sz w:val="21"/>
                <w:szCs w:val="21"/>
                <w:highlight w:val="none"/>
                <w:lang w:val="en-US" w:eastAsia="zh-CN"/>
              </w:rPr>
              <w:t>非常</w:t>
            </w:r>
            <w:r>
              <w:rPr>
                <w:rFonts w:hint="eastAsia" w:hAnsi="宋体" w:cs="宋体"/>
                <w:color w:val="auto"/>
                <w:sz w:val="21"/>
                <w:szCs w:val="21"/>
                <w:highlight w:val="none"/>
              </w:rPr>
              <w:t>科学、</w:t>
            </w:r>
            <w:r>
              <w:rPr>
                <w:rFonts w:hint="eastAsia" w:hAnsi="宋体" w:cs="宋体"/>
                <w:color w:val="auto"/>
                <w:sz w:val="21"/>
                <w:szCs w:val="21"/>
                <w:highlight w:val="none"/>
                <w:lang w:val="en-US" w:eastAsia="zh-CN"/>
              </w:rPr>
              <w:t>非常</w:t>
            </w:r>
            <w:r>
              <w:rPr>
                <w:rFonts w:hint="eastAsia" w:hAnsi="宋体" w:cs="宋体"/>
                <w:color w:val="auto"/>
                <w:sz w:val="21"/>
                <w:szCs w:val="21"/>
                <w:highlight w:val="none"/>
              </w:rPr>
              <w:t>合理，得</w:t>
            </w:r>
            <w:r>
              <w:rPr>
                <w:rFonts w:hint="eastAsia" w:hAnsi="宋体" w:cs="宋体"/>
                <w:color w:val="auto"/>
                <w:sz w:val="21"/>
                <w:szCs w:val="21"/>
                <w:highlight w:val="none"/>
                <w:lang w:val="en-US" w:eastAsia="zh-CN"/>
              </w:rPr>
              <w:t>10</w:t>
            </w:r>
            <w:r>
              <w:rPr>
                <w:rFonts w:hint="eastAsia" w:hAnsi="宋体" w:cs="宋体"/>
                <w:color w:val="auto"/>
                <w:sz w:val="21"/>
                <w:szCs w:val="21"/>
                <w:highlight w:val="none"/>
              </w:rPr>
              <w:t xml:space="preserve">分； </w:t>
            </w:r>
          </w:p>
          <w:p>
            <w:pPr>
              <w:numPr>
                <w:ilvl w:val="0"/>
                <w:numId w:val="0"/>
              </w:numPr>
              <w:spacing w:line="360" w:lineRule="auto"/>
              <w:rPr>
                <w:rFonts w:hint="eastAsia" w:hAnsi="宋体" w:cs="宋体"/>
                <w:color w:val="auto"/>
                <w:sz w:val="21"/>
                <w:szCs w:val="21"/>
                <w:highlight w:val="none"/>
              </w:rPr>
            </w:pPr>
            <w:r>
              <w:rPr>
                <w:rFonts w:hint="eastAsia" w:hAnsi="宋体" w:cs="宋体"/>
                <w:color w:val="auto"/>
                <w:sz w:val="21"/>
                <w:szCs w:val="21"/>
                <w:highlight w:val="none"/>
              </w:rPr>
              <w:t>（2）提出的建议较为科学、合理，得</w:t>
            </w:r>
            <w:r>
              <w:rPr>
                <w:rFonts w:hint="eastAsia" w:hAnsi="宋体" w:cs="宋体"/>
                <w:color w:val="auto"/>
                <w:sz w:val="21"/>
                <w:szCs w:val="21"/>
                <w:highlight w:val="none"/>
                <w:lang w:val="en-US" w:eastAsia="zh-CN"/>
              </w:rPr>
              <w:t>8</w:t>
            </w:r>
            <w:r>
              <w:rPr>
                <w:rFonts w:hint="eastAsia" w:hAnsi="宋体" w:cs="宋体"/>
                <w:color w:val="auto"/>
                <w:sz w:val="21"/>
                <w:szCs w:val="21"/>
                <w:highlight w:val="none"/>
              </w:rPr>
              <w:t xml:space="preserve">分； </w:t>
            </w:r>
          </w:p>
          <w:p>
            <w:pPr>
              <w:spacing w:line="360" w:lineRule="auto"/>
              <w:rPr>
                <w:rFonts w:hint="eastAsia" w:hAnsi="宋体" w:cs="宋体"/>
                <w:color w:val="auto"/>
                <w:sz w:val="21"/>
                <w:szCs w:val="21"/>
                <w:highlight w:val="none"/>
              </w:rPr>
            </w:pPr>
            <w:r>
              <w:rPr>
                <w:rFonts w:hint="eastAsia" w:hAnsi="宋体" w:cs="宋体"/>
                <w:color w:val="auto"/>
                <w:sz w:val="21"/>
                <w:szCs w:val="21"/>
                <w:highlight w:val="none"/>
              </w:rPr>
              <w:t>（3）提出的建议具有一定的科学性、合理性，得</w:t>
            </w:r>
            <w:r>
              <w:rPr>
                <w:rFonts w:hint="eastAsia" w:hAnsi="宋体" w:cs="宋体"/>
                <w:color w:val="auto"/>
                <w:sz w:val="21"/>
                <w:szCs w:val="21"/>
                <w:highlight w:val="none"/>
                <w:lang w:val="en-US" w:eastAsia="zh-CN"/>
              </w:rPr>
              <w:t>6</w:t>
            </w:r>
            <w:r>
              <w:rPr>
                <w:rFonts w:hint="eastAsia" w:hAnsi="宋体" w:cs="宋体"/>
                <w:color w:val="auto"/>
                <w:sz w:val="21"/>
                <w:szCs w:val="21"/>
                <w:highlight w:val="none"/>
              </w:rPr>
              <w:t xml:space="preserve">分； </w:t>
            </w:r>
          </w:p>
          <w:p>
            <w:pPr>
              <w:spacing w:line="360" w:lineRule="auto"/>
              <w:rPr>
                <w:rFonts w:hint="eastAsia" w:hAnsi="宋体" w:cs="宋体"/>
                <w:color w:val="auto"/>
                <w:sz w:val="21"/>
                <w:szCs w:val="21"/>
                <w:highlight w:val="none"/>
              </w:rPr>
            </w:pPr>
            <w:r>
              <w:rPr>
                <w:rFonts w:hint="eastAsia" w:hAnsi="宋体" w:cs="宋体"/>
                <w:color w:val="auto"/>
                <w:sz w:val="21"/>
                <w:szCs w:val="21"/>
                <w:highlight w:val="none"/>
              </w:rPr>
              <w:t>（4）提出的建议的科学性、合理性</w:t>
            </w:r>
            <w:r>
              <w:rPr>
                <w:rFonts w:hint="eastAsia" w:hAnsi="宋体" w:cs="宋体"/>
                <w:color w:val="auto"/>
                <w:sz w:val="21"/>
                <w:szCs w:val="21"/>
                <w:highlight w:val="none"/>
                <w:lang w:val="en-US" w:eastAsia="zh-CN"/>
              </w:rPr>
              <w:t>较差</w:t>
            </w:r>
            <w:r>
              <w:rPr>
                <w:rFonts w:hint="eastAsia" w:hAnsi="宋体" w:cs="宋体"/>
                <w:color w:val="auto"/>
                <w:sz w:val="21"/>
                <w:szCs w:val="21"/>
                <w:highlight w:val="none"/>
              </w:rPr>
              <w:t>，得</w:t>
            </w:r>
            <w:r>
              <w:rPr>
                <w:rFonts w:hint="eastAsia" w:hAnsi="宋体" w:cs="宋体"/>
                <w:color w:val="auto"/>
                <w:sz w:val="21"/>
                <w:szCs w:val="21"/>
                <w:highlight w:val="none"/>
                <w:lang w:val="en-US" w:eastAsia="zh-CN"/>
              </w:rPr>
              <w:t>4</w:t>
            </w:r>
            <w:r>
              <w:rPr>
                <w:rFonts w:hint="eastAsia" w:hAnsi="宋体" w:cs="宋体"/>
                <w:color w:val="auto"/>
                <w:sz w:val="21"/>
                <w:szCs w:val="21"/>
                <w:highlight w:val="none"/>
              </w:rPr>
              <w:t>分；</w:t>
            </w:r>
          </w:p>
          <w:p>
            <w:pPr>
              <w:spacing w:line="360" w:lineRule="auto"/>
              <w:rPr>
                <w:rFonts w:hint="eastAsia" w:hAnsi="宋体" w:cs="宋体"/>
                <w:color w:val="auto"/>
                <w:sz w:val="21"/>
                <w:szCs w:val="21"/>
                <w:highlight w:val="none"/>
              </w:rPr>
            </w:pPr>
            <w:r>
              <w:rPr>
                <w:rFonts w:hint="eastAsia" w:hAnsi="宋体" w:cs="宋体"/>
                <w:color w:val="auto"/>
                <w:sz w:val="21"/>
                <w:szCs w:val="21"/>
                <w:highlight w:val="none"/>
              </w:rPr>
              <w:t>（5）未提供对应方案不得分</w:t>
            </w:r>
            <w:r>
              <w:rPr>
                <w:rFonts w:hint="eastAsia" w:hAnsi="宋体" w:cs="宋体"/>
                <w:color w:val="auto"/>
                <w:sz w:val="21"/>
                <w:szCs w:val="21"/>
                <w:highlight w:val="none"/>
                <w:lang w:eastAsia="zh-CN"/>
              </w:rPr>
              <w:t>。</w:t>
            </w:r>
          </w:p>
        </w:tc>
      </w:tr>
    </w:tbl>
    <w:p>
      <w:pPr>
        <w:pStyle w:val="86"/>
        <w:keepNext w:val="0"/>
        <w:tabs>
          <w:tab w:val="left" w:pos="0"/>
        </w:tabs>
        <w:spacing w:after="0" w:line="360" w:lineRule="auto"/>
        <w:ind w:left="360"/>
        <w:rPr>
          <w:rFonts w:ascii="宋体" w:hAnsi="宋体"/>
          <w:color w:val="auto"/>
          <w:highlight w:val="none"/>
        </w:rPr>
      </w:pPr>
      <w:r>
        <w:rPr>
          <w:rFonts w:hint="eastAsia" w:ascii="宋体" w:hAnsi="宋体"/>
          <w:color w:val="auto"/>
          <w:highlight w:val="none"/>
        </w:rPr>
        <w:t>备注：</w:t>
      </w:r>
    </w:p>
    <w:p>
      <w:pPr>
        <w:spacing w:line="360" w:lineRule="auto"/>
        <w:rPr>
          <w:rFonts w:hAnsi="宋体"/>
          <w:color w:val="auto"/>
          <w:kern w:val="2"/>
          <w:sz w:val="21"/>
          <w:highlight w:val="none"/>
        </w:rPr>
      </w:pPr>
      <w:r>
        <w:rPr>
          <w:rFonts w:hint="eastAsia" w:hAnsi="宋体"/>
          <w:color w:val="auto"/>
          <w:kern w:val="2"/>
          <w:sz w:val="21"/>
          <w:highlight w:val="none"/>
        </w:rPr>
        <w:t>（1）磋商文件要求提交的与评价指标体系相关的各类有效资料，供应商如未按要求提交的，该项评分为零分。</w:t>
      </w:r>
    </w:p>
    <w:p>
      <w:pPr>
        <w:spacing w:line="360" w:lineRule="auto"/>
        <w:rPr>
          <w:rFonts w:hAnsi="宋体"/>
          <w:color w:val="auto"/>
          <w:kern w:val="2"/>
          <w:sz w:val="21"/>
          <w:highlight w:val="none"/>
        </w:rPr>
      </w:pPr>
      <w:r>
        <w:rPr>
          <w:rFonts w:hint="eastAsia" w:hAnsi="宋体"/>
          <w:color w:val="auto"/>
          <w:kern w:val="2"/>
          <w:sz w:val="21"/>
          <w:highlight w:val="none"/>
        </w:rPr>
        <w:t>（2）技术商务得分为评委评分分值的算术平均值（四舍五入后，小数点后保留两位有效数）。</w:t>
      </w:r>
    </w:p>
    <w:p>
      <w:pPr>
        <w:pStyle w:val="86"/>
        <w:keepNext w:val="0"/>
        <w:numPr>
          <w:ilvl w:val="3"/>
          <w:numId w:val="24"/>
        </w:numPr>
        <w:tabs>
          <w:tab w:val="left" w:pos="0"/>
          <w:tab w:val="clear" w:pos="1620"/>
        </w:tabs>
        <w:spacing w:after="0" w:line="360" w:lineRule="auto"/>
        <w:ind w:left="360"/>
        <w:rPr>
          <w:rFonts w:ascii="宋体" w:hAnsi="宋体"/>
          <w:b/>
          <w:color w:val="auto"/>
          <w:highlight w:val="none"/>
        </w:rPr>
      </w:pPr>
      <w:r>
        <w:rPr>
          <w:rFonts w:hint="eastAsia" w:ascii="宋体" w:hAnsi="宋体"/>
          <w:b/>
          <w:color w:val="auto"/>
          <w:highlight w:val="none"/>
        </w:rPr>
        <w:t>价格评分标准：（总分：20分）</w:t>
      </w:r>
    </w:p>
    <w:p>
      <w:pPr>
        <w:pStyle w:val="86"/>
        <w:keepNext w:val="0"/>
        <w:tabs>
          <w:tab w:val="left" w:pos="0"/>
        </w:tabs>
        <w:spacing w:after="0" w:line="360" w:lineRule="auto"/>
        <w:rPr>
          <w:rFonts w:ascii="宋体" w:hAnsi="宋体"/>
          <w:b/>
          <w:color w:val="auto"/>
          <w:highlight w:val="none"/>
        </w:rPr>
      </w:pPr>
      <w:r>
        <w:rPr>
          <w:rFonts w:hint="eastAsia" w:ascii="宋体" w:hAnsi="宋体"/>
          <w:bCs/>
          <w:color w:val="auto"/>
          <w:szCs w:val="21"/>
          <w:highlight w:val="none"/>
        </w:rPr>
        <w:t xml:space="preserve">3.1  </w:t>
      </w:r>
      <w:r>
        <w:rPr>
          <w:rFonts w:ascii="宋体" w:hAnsi="宋体"/>
          <w:bCs/>
          <w:color w:val="auto"/>
          <w:szCs w:val="21"/>
          <w:highlight w:val="none"/>
        </w:rPr>
        <w:t>价格分采用低价优先法计算，即满足磋商文件要求且投标价格最低的投标报价为评标基准价，其价格分为满分。</w:t>
      </w:r>
      <w:r>
        <w:rPr>
          <w:rFonts w:hint="eastAsia" w:ascii="宋体" w:hAnsi="宋体"/>
          <w:bCs/>
          <w:color w:val="auto"/>
          <w:szCs w:val="21"/>
          <w:highlight w:val="none"/>
        </w:rPr>
        <w:t>其他</w:t>
      </w:r>
      <w:r>
        <w:rPr>
          <w:rFonts w:ascii="宋体" w:hAnsi="宋体"/>
          <w:bCs/>
          <w:color w:val="auto"/>
          <w:szCs w:val="21"/>
          <w:highlight w:val="none"/>
        </w:rPr>
        <w:t>供应商的价格分统一按照下列公式计算：</w:t>
      </w:r>
    </w:p>
    <w:p>
      <w:pPr>
        <w:spacing w:line="360" w:lineRule="auto"/>
        <w:ind w:firstLine="422" w:firstLineChars="200"/>
        <w:rPr>
          <w:rFonts w:hAnsi="宋体"/>
          <w:b/>
          <w:bCs/>
          <w:color w:val="auto"/>
          <w:sz w:val="21"/>
          <w:szCs w:val="21"/>
          <w:highlight w:val="none"/>
        </w:rPr>
      </w:pPr>
      <w:r>
        <w:rPr>
          <w:rFonts w:hint="eastAsia" w:hAnsi="宋体"/>
          <w:b/>
          <w:bCs/>
          <w:color w:val="auto"/>
          <w:sz w:val="21"/>
          <w:szCs w:val="21"/>
          <w:highlight w:val="none"/>
        </w:rPr>
        <w:t>投标报价得分＝（评标基准价/投标报价）×价格分值</w:t>
      </w:r>
    </w:p>
    <w:p>
      <w:pPr>
        <w:spacing w:line="360" w:lineRule="auto"/>
        <w:ind w:firstLine="422" w:firstLineChars="200"/>
        <w:rPr>
          <w:rFonts w:hAnsi="宋体"/>
          <w:b/>
          <w:bCs/>
          <w:color w:val="auto"/>
          <w:kern w:val="2"/>
          <w:sz w:val="21"/>
          <w:szCs w:val="21"/>
          <w:highlight w:val="none"/>
        </w:rPr>
      </w:pPr>
      <w:r>
        <w:rPr>
          <w:rFonts w:hint="eastAsia" w:hAnsi="宋体"/>
          <w:b/>
          <w:bCs/>
          <w:color w:val="auto"/>
          <w:kern w:val="2"/>
          <w:sz w:val="21"/>
          <w:szCs w:val="21"/>
          <w:highlight w:val="none"/>
        </w:rPr>
        <w:t>因落实政府采购政策进行价格调整的，以调整后的价格计算评标基准价和投标报价。</w:t>
      </w:r>
    </w:p>
    <w:p>
      <w:pPr>
        <w:pStyle w:val="86"/>
        <w:keepNext w:val="0"/>
        <w:tabs>
          <w:tab w:val="left" w:pos="0"/>
        </w:tabs>
        <w:spacing w:after="0" w:line="360" w:lineRule="auto"/>
        <w:rPr>
          <w:rFonts w:ascii="宋体" w:hAnsi="宋体"/>
          <w:bCs/>
          <w:color w:val="auto"/>
          <w:szCs w:val="21"/>
          <w:highlight w:val="none"/>
        </w:rPr>
      </w:pPr>
      <w:r>
        <w:rPr>
          <w:rFonts w:hint="eastAsia" w:ascii="宋体" w:hAnsi="宋体"/>
          <w:bCs/>
          <w:color w:val="auto"/>
          <w:szCs w:val="21"/>
          <w:highlight w:val="none"/>
        </w:rPr>
        <w:t>3.2  对小型或微型企业投标的扶持</w:t>
      </w:r>
      <w:r>
        <w:rPr>
          <w:rFonts w:hint="eastAsia" w:ascii="宋体" w:hAnsi="宋体"/>
          <w:b/>
          <w:bCs/>
          <w:color w:val="auto"/>
          <w:szCs w:val="21"/>
          <w:highlight w:val="none"/>
        </w:rPr>
        <w:t>（面向中小企业采购时以下条款不生效）</w:t>
      </w:r>
    </w:p>
    <w:p>
      <w:pPr>
        <w:pStyle w:val="86"/>
        <w:keepNext w:val="0"/>
        <w:tabs>
          <w:tab w:val="left" w:pos="0"/>
        </w:tabs>
        <w:spacing w:after="0" w:line="360" w:lineRule="auto"/>
        <w:ind w:firstLine="279" w:firstLineChars="133"/>
        <w:rPr>
          <w:rFonts w:ascii="宋体" w:hAnsi="宋体"/>
          <w:bCs/>
          <w:color w:val="auto"/>
          <w:szCs w:val="21"/>
          <w:highlight w:val="none"/>
        </w:rPr>
      </w:pPr>
      <w:r>
        <w:rPr>
          <w:rFonts w:hint="eastAsia" w:ascii="宋体" w:hAnsi="宋体"/>
          <w:bCs/>
          <w:color w:val="auto"/>
          <w:szCs w:val="21"/>
          <w:highlight w:val="none"/>
        </w:rPr>
        <w:t>（1）</w:t>
      </w:r>
      <w:r>
        <w:rPr>
          <w:rFonts w:hint="eastAsia"/>
          <w:color w:val="auto"/>
          <w:highlight w:val="none"/>
        </w:rPr>
        <w:t>小微企业参与投标的，对符合</w:t>
      </w:r>
      <w:r>
        <w:rPr>
          <w:rFonts w:hint="eastAsia" w:hAnsi="宋体" w:cs="宋体"/>
          <w:color w:val="auto"/>
          <w:szCs w:val="21"/>
          <w:highlight w:val="none"/>
        </w:rPr>
        <w:t>《政府采购促进中小企业发展管理办法》</w:t>
      </w:r>
      <w:r>
        <w:rPr>
          <w:rFonts w:hint="eastAsia"/>
          <w:color w:val="auto"/>
          <w:highlight w:val="none"/>
        </w:rPr>
        <w:t>规定的小微企业报价给予</w:t>
      </w:r>
      <w:r>
        <w:rPr>
          <w:rFonts w:hint="eastAsia"/>
          <w:color w:val="auto"/>
          <w:highlight w:val="none"/>
          <w:lang w:val="en-US" w:eastAsia="zh-CN"/>
        </w:rPr>
        <w:t>10</w:t>
      </w:r>
      <w:r>
        <w:rPr>
          <w:color w:val="auto"/>
          <w:highlight w:val="none"/>
        </w:rPr>
        <w:t>%</w:t>
      </w:r>
      <w:r>
        <w:rPr>
          <w:rFonts w:hint="eastAsia"/>
          <w:color w:val="auto"/>
          <w:highlight w:val="none"/>
        </w:rPr>
        <w:t>的扣除，用扣除后的价格参加评审</w:t>
      </w:r>
      <w:r>
        <w:rPr>
          <w:rFonts w:hint="eastAsia" w:ascii="宋体" w:hAnsi="宋体"/>
          <w:bCs/>
          <w:color w:val="auto"/>
          <w:szCs w:val="21"/>
          <w:highlight w:val="none"/>
        </w:rPr>
        <w:t>。</w:t>
      </w:r>
    </w:p>
    <w:p>
      <w:pPr>
        <w:pStyle w:val="86"/>
        <w:keepNext w:val="0"/>
        <w:tabs>
          <w:tab w:val="left" w:pos="0"/>
        </w:tabs>
        <w:spacing w:after="0" w:line="360" w:lineRule="auto"/>
        <w:ind w:firstLine="279" w:firstLineChars="133"/>
        <w:rPr>
          <w:rFonts w:ascii="宋体" w:hAnsi="宋体"/>
          <w:bCs/>
          <w:color w:val="auto"/>
          <w:szCs w:val="21"/>
          <w:highlight w:val="none"/>
        </w:rPr>
      </w:pPr>
      <w:r>
        <w:rPr>
          <w:rFonts w:hint="eastAsia" w:ascii="宋体" w:hAnsi="宋体"/>
          <w:bCs/>
          <w:color w:val="auto"/>
          <w:szCs w:val="21"/>
          <w:highlight w:val="none"/>
        </w:rPr>
        <w:t>（2）</w:t>
      </w:r>
      <w:r>
        <w:rPr>
          <w:rFonts w:hint="eastAsia"/>
          <w:color w:val="auto"/>
          <w:highlight w:val="none"/>
        </w:rPr>
        <w:t>大中型企业与小微企业组成联合体或者大中型企业向一家或者多家小微企业分包的，联合</w:t>
      </w:r>
      <w:r>
        <w:rPr>
          <w:color w:val="auto"/>
          <w:highlight w:val="none"/>
        </w:rPr>
        <w:t xml:space="preserve"> </w:t>
      </w:r>
      <w:r>
        <w:rPr>
          <w:rFonts w:hint="eastAsia"/>
          <w:color w:val="auto"/>
          <w:highlight w:val="none"/>
        </w:rPr>
        <w:t>协议或者分包意向协议约定小微企业的合同份额占到合同总金额</w:t>
      </w:r>
      <w:r>
        <w:rPr>
          <w:color w:val="auto"/>
          <w:highlight w:val="none"/>
        </w:rPr>
        <w:t xml:space="preserve"> 30%</w:t>
      </w:r>
      <w:r>
        <w:rPr>
          <w:rFonts w:hint="eastAsia"/>
          <w:color w:val="auto"/>
          <w:highlight w:val="none"/>
        </w:rPr>
        <w:t>以上的，对联合体或者大中型企业的报价给予</w:t>
      </w:r>
      <w:r>
        <w:rPr>
          <w:color w:val="auto"/>
          <w:highlight w:val="none"/>
        </w:rPr>
        <w:t>2%</w:t>
      </w:r>
      <w:r>
        <w:rPr>
          <w:rFonts w:hint="eastAsia"/>
          <w:color w:val="auto"/>
          <w:highlight w:val="none"/>
        </w:rPr>
        <w:t>的扣除，用扣除后的价格参加评审。</w:t>
      </w:r>
    </w:p>
    <w:p>
      <w:pPr>
        <w:pStyle w:val="86"/>
        <w:keepNext w:val="0"/>
        <w:tabs>
          <w:tab w:val="left" w:pos="0"/>
        </w:tabs>
        <w:spacing w:after="0" w:line="360" w:lineRule="auto"/>
        <w:ind w:firstLine="279" w:firstLineChars="133"/>
        <w:rPr>
          <w:rFonts w:ascii="宋体" w:hAnsi="宋体"/>
          <w:bCs/>
          <w:color w:val="auto"/>
          <w:szCs w:val="21"/>
          <w:highlight w:val="none"/>
        </w:rPr>
      </w:pPr>
      <w:r>
        <w:rPr>
          <w:rFonts w:hint="eastAsia" w:ascii="宋体" w:hAnsi="宋体"/>
          <w:bCs/>
          <w:color w:val="auto"/>
          <w:szCs w:val="21"/>
          <w:highlight w:val="none"/>
        </w:rPr>
        <w:t>（3）根据财库〔2014〕68号《财政部司法部关于政府采购支持监狱企业发展有关问题的通知》，监狱企业视同小微企业，监狱企业投标的提供由省级以上监狱管理局、戒毒管理局(含新疆生产建设兵团)出具的属于监狱企业的证明文件，不再提供《中小企业声明函》。</w:t>
      </w:r>
    </w:p>
    <w:p>
      <w:pPr>
        <w:pStyle w:val="86"/>
        <w:keepNext w:val="0"/>
        <w:tabs>
          <w:tab w:val="left" w:pos="0"/>
        </w:tabs>
        <w:spacing w:after="0" w:line="360" w:lineRule="auto"/>
        <w:ind w:firstLine="279" w:firstLineChars="133"/>
        <w:rPr>
          <w:rFonts w:ascii="宋体" w:hAnsi="宋体"/>
          <w:bCs/>
          <w:color w:val="auto"/>
          <w:szCs w:val="21"/>
          <w:highlight w:val="none"/>
        </w:rPr>
      </w:pPr>
      <w:r>
        <w:rPr>
          <w:rFonts w:hint="eastAsia" w:ascii="宋体" w:hAnsi="宋体"/>
          <w:bCs/>
          <w:color w:val="auto"/>
          <w:szCs w:val="21"/>
          <w:highlight w:val="none"/>
        </w:rPr>
        <w:t>（4）根据《财政部 民政部 中国残疾人联合会关于促进残疾人就业政府采购政策的通知》（财库〔2017〕141号），残疾人福利性单位视同小型、微型企业，享受评审中价格扣除。残疾人福利性单位属于小型、微型企业的，不重复享受政策。</w:t>
      </w:r>
    </w:p>
    <w:tbl>
      <w:tblPr>
        <w:tblStyle w:val="48"/>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56"/>
        <w:gridCol w:w="1635"/>
        <w:gridCol w:w="1306"/>
        <w:gridCol w:w="873"/>
        <w:gridCol w:w="42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8" w:type="pct"/>
            <w:vAlign w:val="center"/>
          </w:tcPr>
          <w:p>
            <w:pPr>
              <w:pStyle w:val="86"/>
              <w:keepNext w:val="0"/>
              <w:tabs>
                <w:tab w:val="left" w:pos="0"/>
              </w:tabs>
              <w:spacing w:after="0" w:line="360" w:lineRule="auto"/>
              <w:jc w:val="center"/>
              <w:rPr>
                <w:rFonts w:ascii="宋体" w:hAnsi="宋体"/>
                <w:bCs/>
                <w:color w:val="auto"/>
                <w:szCs w:val="21"/>
                <w:highlight w:val="none"/>
              </w:rPr>
            </w:pPr>
            <w:r>
              <w:rPr>
                <w:rFonts w:hint="eastAsia" w:ascii="宋体" w:hAnsi="宋体"/>
                <w:bCs/>
                <w:color w:val="auto"/>
                <w:szCs w:val="21"/>
                <w:highlight w:val="none"/>
              </w:rPr>
              <w:t>序号</w:t>
            </w:r>
          </w:p>
        </w:tc>
        <w:tc>
          <w:tcPr>
            <w:tcW w:w="959" w:type="pct"/>
            <w:vAlign w:val="center"/>
          </w:tcPr>
          <w:p>
            <w:pPr>
              <w:pStyle w:val="86"/>
              <w:keepNext w:val="0"/>
              <w:tabs>
                <w:tab w:val="left" w:pos="0"/>
              </w:tabs>
              <w:spacing w:after="0" w:line="360" w:lineRule="auto"/>
              <w:jc w:val="center"/>
              <w:rPr>
                <w:rFonts w:ascii="宋体" w:hAnsi="宋体"/>
                <w:bCs/>
                <w:color w:val="auto"/>
                <w:szCs w:val="21"/>
                <w:highlight w:val="none"/>
              </w:rPr>
            </w:pPr>
            <w:r>
              <w:rPr>
                <w:rFonts w:hint="eastAsia" w:ascii="宋体" w:hAnsi="宋体"/>
                <w:bCs/>
                <w:color w:val="auto"/>
                <w:szCs w:val="21"/>
                <w:highlight w:val="none"/>
              </w:rPr>
              <w:t>情形</w:t>
            </w:r>
          </w:p>
        </w:tc>
        <w:tc>
          <w:tcPr>
            <w:tcW w:w="766" w:type="pct"/>
            <w:vAlign w:val="center"/>
          </w:tcPr>
          <w:p>
            <w:pPr>
              <w:pStyle w:val="86"/>
              <w:keepNext w:val="0"/>
              <w:tabs>
                <w:tab w:val="left" w:pos="0"/>
              </w:tabs>
              <w:spacing w:after="0" w:line="360" w:lineRule="auto"/>
              <w:jc w:val="center"/>
              <w:rPr>
                <w:rFonts w:ascii="宋体" w:hAnsi="宋体"/>
                <w:bCs/>
                <w:color w:val="auto"/>
                <w:szCs w:val="21"/>
                <w:highlight w:val="none"/>
              </w:rPr>
            </w:pPr>
            <w:r>
              <w:rPr>
                <w:rFonts w:hint="eastAsia" w:ascii="宋体" w:hAnsi="宋体"/>
                <w:bCs/>
                <w:color w:val="auto"/>
                <w:szCs w:val="21"/>
                <w:highlight w:val="none"/>
              </w:rPr>
              <w:t>适用对象</w:t>
            </w:r>
          </w:p>
        </w:tc>
        <w:tc>
          <w:tcPr>
            <w:tcW w:w="512" w:type="pct"/>
            <w:vAlign w:val="center"/>
          </w:tcPr>
          <w:p>
            <w:pPr>
              <w:pStyle w:val="86"/>
              <w:keepNext w:val="0"/>
              <w:tabs>
                <w:tab w:val="left" w:pos="0"/>
              </w:tabs>
              <w:spacing w:after="0" w:line="360" w:lineRule="auto"/>
              <w:jc w:val="center"/>
              <w:rPr>
                <w:rFonts w:ascii="宋体" w:hAnsi="宋体"/>
                <w:bCs/>
                <w:color w:val="auto"/>
                <w:szCs w:val="21"/>
                <w:highlight w:val="none"/>
              </w:rPr>
            </w:pPr>
            <w:r>
              <w:rPr>
                <w:rFonts w:hint="eastAsia" w:ascii="宋体" w:hAnsi="宋体"/>
                <w:bCs/>
                <w:color w:val="auto"/>
                <w:szCs w:val="21"/>
                <w:highlight w:val="none"/>
              </w:rPr>
              <w:t>价格扣除比例</w:t>
            </w:r>
          </w:p>
        </w:tc>
        <w:tc>
          <w:tcPr>
            <w:tcW w:w="2492" w:type="pct"/>
            <w:vAlign w:val="center"/>
          </w:tcPr>
          <w:p>
            <w:pPr>
              <w:pStyle w:val="86"/>
              <w:keepNext w:val="0"/>
              <w:tabs>
                <w:tab w:val="left" w:pos="0"/>
              </w:tabs>
              <w:spacing w:after="0" w:line="360" w:lineRule="auto"/>
              <w:jc w:val="center"/>
              <w:rPr>
                <w:rFonts w:ascii="宋体" w:hAnsi="宋体"/>
                <w:bCs/>
                <w:color w:val="auto"/>
                <w:szCs w:val="21"/>
                <w:highlight w:val="none"/>
              </w:rPr>
            </w:pPr>
            <w:r>
              <w:rPr>
                <w:rFonts w:hint="eastAsia" w:ascii="宋体" w:hAnsi="宋体"/>
                <w:bCs/>
                <w:color w:val="auto"/>
                <w:szCs w:val="21"/>
                <w:highlight w:val="none"/>
              </w:rPr>
              <w:t>计算公式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20" w:hRule="atLeast"/>
        </w:trPr>
        <w:tc>
          <w:tcPr>
            <w:tcW w:w="268" w:type="pct"/>
            <w:vAlign w:val="center"/>
          </w:tcPr>
          <w:p>
            <w:pPr>
              <w:pStyle w:val="86"/>
              <w:keepNext w:val="0"/>
              <w:tabs>
                <w:tab w:val="left" w:pos="0"/>
              </w:tabs>
              <w:spacing w:after="0" w:line="360" w:lineRule="auto"/>
              <w:jc w:val="center"/>
              <w:rPr>
                <w:rFonts w:ascii="宋体" w:hAnsi="宋体"/>
                <w:bCs/>
                <w:color w:val="auto"/>
                <w:szCs w:val="21"/>
                <w:highlight w:val="none"/>
              </w:rPr>
            </w:pPr>
            <w:r>
              <w:rPr>
                <w:rFonts w:hint="eastAsia" w:ascii="宋体" w:hAnsi="宋体"/>
                <w:bCs/>
                <w:color w:val="auto"/>
                <w:szCs w:val="21"/>
                <w:highlight w:val="none"/>
              </w:rPr>
              <w:t>1</w:t>
            </w:r>
          </w:p>
        </w:tc>
        <w:tc>
          <w:tcPr>
            <w:tcW w:w="959" w:type="pct"/>
            <w:vAlign w:val="center"/>
          </w:tcPr>
          <w:p>
            <w:pPr>
              <w:pStyle w:val="86"/>
              <w:keepNext w:val="0"/>
              <w:tabs>
                <w:tab w:val="left" w:pos="0"/>
              </w:tabs>
              <w:spacing w:after="0" w:line="360" w:lineRule="auto"/>
              <w:jc w:val="center"/>
              <w:rPr>
                <w:rFonts w:ascii="宋体" w:hAnsi="宋体"/>
                <w:bCs/>
                <w:color w:val="auto"/>
                <w:szCs w:val="21"/>
                <w:highlight w:val="none"/>
              </w:rPr>
            </w:pPr>
            <w:r>
              <w:rPr>
                <w:rFonts w:hint="eastAsia" w:ascii="宋体" w:hAnsi="宋体"/>
                <w:bCs/>
                <w:color w:val="auto"/>
                <w:szCs w:val="21"/>
                <w:highlight w:val="none"/>
              </w:rPr>
              <w:t>小型、微型企业，监狱企业，残疾人福利性单位</w:t>
            </w:r>
          </w:p>
        </w:tc>
        <w:tc>
          <w:tcPr>
            <w:tcW w:w="766" w:type="pct"/>
            <w:vAlign w:val="center"/>
          </w:tcPr>
          <w:p>
            <w:pPr>
              <w:pStyle w:val="86"/>
              <w:keepNext w:val="0"/>
              <w:tabs>
                <w:tab w:val="left" w:pos="0"/>
              </w:tabs>
              <w:spacing w:after="0" w:line="360" w:lineRule="auto"/>
              <w:jc w:val="center"/>
              <w:rPr>
                <w:rFonts w:ascii="宋体" w:hAnsi="宋体"/>
                <w:bCs/>
                <w:color w:val="auto"/>
                <w:szCs w:val="21"/>
                <w:highlight w:val="none"/>
              </w:rPr>
            </w:pPr>
            <w:r>
              <w:rPr>
                <w:rFonts w:hint="eastAsia" w:ascii="宋体" w:hAnsi="宋体"/>
                <w:bCs/>
                <w:color w:val="auto"/>
                <w:szCs w:val="21"/>
                <w:highlight w:val="none"/>
              </w:rPr>
              <w:t>本项目服务全部为小型或微型企业承接</w:t>
            </w:r>
          </w:p>
        </w:tc>
        <w:tc>
          <w:tcPr>
            <w:tcW w:w="512" w:type="pct"/>
            <w:vAlign w:val="center"/>
          </w:tcPr>
          <w:p>
            <w:pPr>
              <w:pStyle w:val="86"/>
              <w:keepNext w:val="0"/>
              <w:tabs>
                <w:tab w:val="left" w:pos="0"/>
              </w:tabs>
              <w:spacing w:after="0" w:line="360" w:lineRule="auto"/>
              <w:jc w:val="center"/>
              <w:rPr>
                <w:rFonts w:ascii="宋体" w:hAnsi="宋体"/>
                <w:bCs/>
                <w:color w:val="auto"/>
                <w:szCs w:val="21"/>
                <w:highlight w:val="none"/>
              </w:rPr>
            </w:pPr>
            <w:r>
              <w:rPr>
                <w:rFonts w:hint="eastAsia" w:ascii="宋体" w:hAnsi="宋体"/>
                <w:bCs/>
                <w:color w:val="auto"/>
                <w:szCs w:val="21"/>
                <w:highlight w:val="none"/>
              </w:rPr>
              <w:t>10</w:t>
            </w:r>
            <w:r>
              <w:rPr>
                <w:rFonts w:ascii="宋体" w:hAnsi="宋体"/>
                <w:bCs/>
                <w:color w:val="auto"/>
                <w:szCs w:val="21"/>
                <w:highlight w:val="none"/>
              </w:rPr>
              <w:t>%</w:t>
            </w:r>
          </w:p>
        </w:tc>
        <w:tc>
          <w:tcPr>
            <w:tcW w:w="2492" w:type="pct"/>
            <w:vAlign w:val="center"/>
          </w:tcPr>
          <w:p>
            <w:pPr>
              <w:pStyle w:val="86"/>
              <w:tabs>
                <w:tab w:val="left" w:pos="0"/>
              </w:tabs>
              <w:spacing w:line="360" w:lineRule="auto"/>
              <w:jc w:val="center"/>
              <w:rPr>
                <w:rFonts w:ascii="宋体" w:hAnsi="宋体"/>
                <w:bCs/>
                <w:color w:val="auto"/>
                <w:szCs w:val="21"/>
                <w:highlight w:val="none"/>
              </w:rPr>
            </w:pPr>
            <w:r>
              <w:rPr>
                <w:rFonts w:hint="eastAsia" w:ascii="宋体" w:hAnsi="宋体"/>
                <w:bCs/>
                <w:color w:val="auto"/>
                <w:szCs w:val="21"/>
                <w:highlight w:val="none"/>
              </w:rPr>
              <w:t>承接本项目的供应商或联合体成员均为小型、微型企业时，给予价格扣除（扣除比例取值范围为6%-10%），即：评标价=核实价×（1-扣除比例）;监狱企业与残疾人福利性单位视同小型、微型企业，享受同等价格扣除，当企业属性重复时，不重复价格扣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gridSpan w:val="5"/>
            <w:vAlign w:val="center"/>
          </w:tcPr>
          <w:p>
            <w:pPr>
              <w:pStyle w:val="86"/>
              <w:keepNext w:val="0"/>
              <w:tabs>
                <w:tab w:val="left" w:pos="0"/>
              </w:tabs>
              <w:spacing w:after="0" w:line="360" w:lineRule="auto"/>
              <w:rPr>
                <w:rFonts w:ascii="宋体" w:hAnsi="宋体"/>
                <w:bCs/>
                <w:color w:val="auto"/>
                <w:szCs w:val="21"/>
                <w:highlight w:val="none"/>
              </w:rPr>
            </w:pPr>
            <w:r>
              <w:rPr>
                <w:rFonts w:hint="eastAsia" w:ascii="宋体" w:hAnsi="宋体"/>
                <w:bCs/>
                <w:color w:val="auto"/>
                <w:szCs w:val="21"/>
                <w:highlight w:val="none"/>
              </w:rPr>
              <w:t>注：</w:t>
            </w:r>
          </w:p>
          <w:p>
            <w:pPr>
              <w:pStyle w:val="86"/>
              <w:keepNext w:val="0"/>
              <w:tabs>
                <w:tab w:val="left" w:pos="0"/>
              </w:tabs>
              <w:spacing w:after="0" w:line="360" w:lineRule="auto"/>
              <w:rPr>
                <w:rFonts w:ascii="宋体" w:hAnsi="宋体"/>
                <w:bCs/>
                <w:color w:val="auto"/>
                <w:szCs w:val="21"/>
                <w:highlight w:val="none"/>
              </w:rPr>
            </w:pPr>
            <w:r>
              <w:rPr>
                <w:rFonts w:hint="eastAsia" w:ascii="宋体" w:hAnsi="宋体"/>
                <w:bCs/>
                <w:color w:val="auto"/>
                <w:szCs w:val="21"/>
                <w:highlight w:val="none"/>
              </w:rPr>
              <w:t>（1）上述评标价仅用于计算价格评分，成交金额以实际投标（响应）价为准。</w:t>
            </w:r>
          </w:p>
          <w:p>
            <w:pPr>
              <w:pStyle w:val="86"/>
              <w:keepNext w:val="0"/>
              <w:tabs>
                <w:tab w:val="left" w:pos="0"/>
              </w:tabs>
              <w:spacing w:after="0" w:line="360" w:lineRule="auto"/>
              <w:rPr>
                <w:rFonts w:ascii="宋体" w:hAnsi="宋体"/>
                <w:bCs/>
                <w:color w:val="auto"/>
                <w:szCs w:val="21"/>
                <w:highlight w:val="none"/>
              </w:rPr>
            </w:pPr>
            <w:r>
              <w:rPr>
                <w:rFonts w:hint="eastAsia" w:ascii="宋体" w:hAnsi="宋体"/>
                <w:bCs/>
                <w:color w:val="auto"/>
                <w:szCs w:val="21"/>
                <w:highlight w:val="none"/>
              </w:rPr>
              <w:t>（2）组成联合体或者接受分包的小微企业与联合体内其他企业、分包企业之间存在直接控股、管理关系的，不享受价格扣除优惠政策。</w:t>
            </w:r>
          </w:p>
          <w:p>
            <w:pPr>
              <w:pStyle w:val="86"/>
              <w:keepNext w:val="0"/>
              <w:tabs>
                <w:tab w:val="left" w:pos="0"/>
              </w:tabs>
              <w:spacing w:after="0" w:line="360" w:lineRule="auto"/>
              <w:rPr>
                <w:rFonts w:ascii="宋体" w:hAnsi="宋体"/>
                <w:bCs/>
                <w:color w:val="auto"/>
                <w:szCs w:val="21"/>
                <w:highlight w:val="none"/>
              </w:rPr>
            </w:pPr>
            <w:r>
              <w:rPr>
                <w:rFonts w:hint="eastAsia" w:ascii="宋体" w:hAnsi="宋体"/>
                <w:bCs/>
                <w:color w:val="auto"/>
                <w:szCs w:val="21"/>
                <w:highlight w:val="none"/>
              </w:rPr>
              <w:t>（3）所称小型和微型企业应当符合以下条件：</w:t>
            </w:r>
          </w:p>
          <w:p>
            <w:pPr>
              <w:pStyle w:val="86"/>
              <w:keepNext w:val="0"/>
              <w:spacing w:after="0" w:line="360" w:lineRule="auto"/>
              <w:ind w:left="425" w:leftChars="177"/>
              <w:rPr>
                <w:rFonts w:ascii="宋体" w:hAnsi="宋体"/>
                <w:bCs/>
                <w:color w:val="auto"/>
                <w:szCs w:val="21"/>
                <w:highlight w:val="none"/>
              </w:rPr>
            </w:pPr>
            <w:r>
              <w:rPr>
                <w:rFonts w:hint="eastAsia" w:ascii="宋体" w:hAnsi="宋体"/>
                <w:bCs/>
                <w:color w:val="auto"/>
                <w:szCs w:val="21"/>
                <w:highlight w:val="none"/>
              </w:rPr>
              <w:t>①在中华人民共和国境内依法设立，依据国务院批准的中小企业划分标准确定的小型企业和微型企业，但与大企业的负责人为同一人，或者与大企业存在直接控股、管理关系的除外。</w:t>
            </w:r>
          </w:p>
          <w:p>
            <w:pPr>
              <w:pStyle w:val="86"/>
              <w:keepNext w:val="0"/>
              <w:spacing w:after="0" w:line="360" w:lineRule="auto"/>
              <w:ind w:left="425" w:leftChars="177"/>
              <w:rPr>
                <w:rFonts w:ascii="宋体" w:hAnsi="宋体"/>
                <w:bCs/>
                <w:color w:val="auto"/>
                <w:szCs w:val="21"/>
                <w:highlight w:val="none"/>
              </w:rPr>
            </w:pPr>
            <w:r>
              <w:rPr>
                <w:rFonts w:hint="eastAsia" w:ascii="宋体" w:hAnsi="宋体"/>
                <w:bCs/>
                <w:color w:val="auto"/>
                <w:szCs w:val="21"/>
                <w:highlight w:val="none"/>
              </w:rPr>
              <w:t>②符合中小企业划分标准的个体工商户，在政府采购活动中视同中小企业。</w:t>
            </w:r>
          </w:p>
          <w:p>
            <w:pPr>
              <w:pStyle w:val="86"/>
              <w:keepNext w:val="0"/>
              <w:spacing w:after="0" w:line="360" w:lineRule="auto"/>
              <w:ind w:left="425" w:leftChars="177"/>
              <w:rPr>
                <w:rFonts w:ascii="宋体" w:hAnsi="宋体"/>
                <w:bCs/>
                <w:color w:val="auto"/>
                <w:szCs w:val="21"/>
                <w:highlight w:val="none"/>
              </w:rPr>
            </w:pPr>
            <w:r>
              <w:rPr>
                <w:rFonts w:hint="eastAsia" w:ascii="宋体" w:hAnsi="宋体"/>
                <w:bCs/>
                <w:color w:val="auto"/>
                <w:szCs w:val="21"/>
                <w:highlight w:val="none"/>
              </w:rPr>
              <w:t>③提供本企业（属于小微企业）制造的货物或者提供其他小型或微型企业制造的货物/提供本企业（属于小微企业）承接的服务。</w:t>
            </w:r>
          </w:p>
          <w:p>
            <w:pPr>
              <w:pStyle w:val="86"/>
              <w:keepNext w:val="0"/>
              <w:tabs>
                <w:tab w:val="left" w:pos="0"/>
              </w:tabs>
              <w:spacing w:after="0" w:line="360" w:lineRule="auto"/>
              <w:rPr>
                <w:rFonts w:ascii="宋体" w:hAnsi="宋体"/>
                <w:bCs/>
                <w:color w:val="auto"/>
                <w:szCs w:val="21"/>
                <w:highlight w:val="none"/>
              </w:rPr>
            </w:pPr>
            <w:r>
              <w:rPr>
                <w:rFonts w:hint="eastAsia" w:ascii="宋体" w:hAnsi="宋体"/>
                <w:bCs/>
                <w:color w:val="auto"/>
                <w:szCs w:val="21"/>
                <w:highlight w:val="none"/>
              </w:rPr>
              <w:t>（4）符合中小企业扶持政策的供应商应填写《中小企业声明函》；监狱企业须供应商提供由监狱管理局、戒毒管理局（含新疆生产建设兵团）出具的属于监狱企业的证明文件；残疾人福利性单位应填写《残疾人福利性单位声明函》，否则不认定价格扣除。</w:t>
            </w:r>
          </w:p>
          <w:p>
            <w:pPr>
              <w:pStyle w:val="86"/>
              <w:keepNext w:val="0"/>
              <w:tabs>
                <w:tab w:val="left" w:pos="0"/>
              </w:tabs>
              <w:spacing w:after="0" w:line="360" w:lineRule="auto"/>
              <w:rPr>
                <w:rFonts w:ascii="宋体" w:hAnsi="宋体"/>
                <w:bCs/>
                <w:color w:val="auto"/>
                <w:szCs w:val="21"/>
                <w:highlight w:val="none"/>
              </w:rPr>
            </w:pPr>
            <w:r>
              <w:rPr>
                <w:rFonts w:hint="eastAsia" w:ascii="宋体" w:hAnsi="宋体"/>
                <w:bCs/>
                <w:color w:val="auto"/>
                <w:szCs w:val="21"/>
                <w:highlight w:val="none"/>
              </w:rPr>
              <w:t>说明：供应商应当对其出具的《中小企业声明函》真实性负责，供应商出具的《中小企业声明函》内容不实的，属于提供虚假材料谋取成交。</w:t>
            </w:r>
          </w:p>
        </w:tc>
      </w:tr>
    </w:tbl>
    <w:p>
      <w:pPr>
        <w:pStyle w:val="86"/>
        <w:keepNext w:val="0"/>
        <w:tabs>
          <w:tab w:val="left" w:pos="0"/>
        </w:tabs>
        <w:spacing w:after="0" w:line="360" w:lineRule="auto"/>
        <w:rPr>
          <w:rFonts w:ascii="宋体" w:hAnsi="宋体"/>
          <w:bCs/>
          <w:color w:val="auto"/>
          <w:szCs w:val="21"/>
          <w:highlight w:val="none"/>
        </w:rPr>
      </w:pPr>
      <w:bookmarkStart w:id="88" w:name="_Hlk12541117"/>
      <w:r>
        <w:rPr>
          <w:rFonts w:hint="eastAsia" w:ascii="宋体" w:hAnsi="宋体"/>
          <w:bCs/>
          <w:color w:val="auto"/>
          <w:szCs w:val="21"/>
          <w:highlight w:val="none"/>
        </w:rPr>
        <w:t>3</w:t>
      </w:r>
      <w:r>
        <w:rPr>
          <w:rFonts w:ascii="宋体" w:hAnsi="宋体"/>
          <w:bCs/>
          <w:color w:val="auto"/>
          <w:szCs w:val="21"/>
          <w:highlight w:val="none"/>
        </w:rPr>
        <w:t>.3</w:t>
      </w:r>
      <w:r>
        <w:rPr>
          <w:rFonts w:hint="eastAsia" w:ascii="宋体" w:hAnsi="宋体"/>
          <w:bCs/>
          <w:color w:val="auto"/>
          <w:szCs w:val="21"/>
          <w:highlight w:val="none"/>
        </w:rPr>
        <w:t xml:space="preserve">  对</w:t>
      </w:r>
      <w:r>
        <w:rPr>
          <w:rFonts w:hint="eastAsia" w:hAnsi="宋体"/>
          <w:color w:val="auto"/>
          <w:szCs w:val="21"/>
          <w:highlight w:val="none"/>
          <w:lang w:val="en-GB"/>
        </w:rPr>
        <w:t>节能产品、环境标志产品</w:t>
      </w:r>
      <w:r>
        <w:rPr>
          <w:rFonts w:hint="eastAsia" w:ascii="宋体" w:hAnsi="宋体"/>
          <w:bCs/>
          <w:color w:val="auto"/>
          <w:szCs w:val="21"/>
          <w:highlight w:val="none"/>
        </w:rPr>
        <w:t>的优惠</w:t>
      </w:r>
      <w:r>
        <w:rPr>
          <w:rFonts w:hint="eastAsia" w:ascii="宋体" w:hAnsi="宋体"/>
          <w:b/>
          <w:bCs/>
          <w:color w:val="auto"/>
          <w:szCs w:val="21"/>
          <w:highlight w:val="none"/>
        </w:rPr>
        <w:t>（本项目不适用）</w:t>
      </w:r>
    </w:p>
    <w:p>
      <w:pPr>
        <w:pStyle w:val="86"/>
        <w:keepNext w:val="0"/>
        <w:tabs>
          <w:tab w:val="left" w:pos="0"/>
        </w:tabs>
        <w:spacing w:after="0" w:line="360" w:lineRule="auto"/>
        <w:ind w:firstLine="279" w:firstLineChars="133"/>
        <w:rPr>
          <w:rFonts w:ascii="宋体" w:hAnsi="宋体"/>
          <w:bCs/>
          <w:color w:val="auto"/>
          <w:szCs w:val="21"/>
          <w:highlight w:val="none"/>
        </w:rPr>
      </w:pPr>
      <w:r>
        <w:rPr>
          <w:rFonts w:hint="eastAsia" w:ascii="宋体" w:hAnsi="宋体"/>
          <w:bCs/>
          <w:color w:val="auto"/>
          <w:szCs w:val="21"/>
          <w:highlight w:val="none"/>
        </w:rPr>
        <w:t>（1）采购的产品属于品目清单范围的，将依据国家确定的认证机构出具的、处于有效期之内的节能产品、环境标志产品认证证书，对获得证书的产品实施政府优先采购或强制采购，具体按照本磋商文件相关要求执行。</w:t>
      </w:r>
    </w:p>
    <w:p>
      <w:pPr>
        <w:pStyle w:val="86"/>
        <w:keepNext w:val="0"/>
        <w:tabs>
          <w:tab w:val="left" w:pos="0"/>
        </w:tabs>
        <w:spacing w:after="0" w:line="360" w:lineRule="auto"/>
        <w:ind w:firstLine="279" w:firstLineChars="133"/>
        <w:rPr>
          <w:rFonts w:ascii="宋体" w:hAnsi="宋体"/>
          <w:bCs/>
          <w:color w:val="auto"/>
          <w:szCs w:val="21"/>
          <w:highlight w:val="none"/>
        </w:rPr>
      </w:pPr>
      <w:r>
        <w:rPr>
          <w:rFonts w:hint="eastAsia" w:ascii="宋体" w:hAnsi="宋体"/>
          <w:bCs/>
          <w:color w:val="auto"/>
          <w:szCs w:val="21"/>
          <w:highlight w:val="none"/>
        </w:rPr>
        <w:t>（2）相关认证机构和获证产品信息以市场监管总局组织建立的节能产品、环境标志产品认证结果信息发布平台公布为准。</w:t>
      </w:r>
    </w:p>
    <w:p>
      <w:pPr>
        <w:pStyle w:val="86"/>
        <w:keepNext w:val="0"/>
        <w:tabs>
          <w:tab w:val="left" w:pos="0"/>
        </w:tabs>
        <w:spacing w:after="0" w:line="360" w:lineRule="auto"/>
        <w:ind w:firstLine="279" w:firstLineChars="133"/>
        <w:rPr>
          <w:rFonts w:ascii="宋体" w:hAnsi="宋体"/>
          <w:bCs/>
          <w:color w:val="auto"/>
          <w:szCs w:val="21"/>
          <w:highlight w:val="none"/>
        </w:rPr>
      </w:pPr>
      <w:r>
        <w:rPr>
          <w:rFonts w:hint="eastAsia" w:ascii="宋体" w:hAnsi="宋体"/>
          <w:bCs/>
          <w:color w:val="auto"/>
          <w:szCs w:val="21"/>
          <w:highlight w:val="none"/>
        </w:rPr>
        <w:t>（3）</w:t>
      </w:r>
      <w:r>
        <w:rPr>
          <w:rFonts w:ascii="宋体" w:hAnsi="宋体"/>
          <w:bCs/>
          <w:color w:val="auto"/>
          <w:szCs w:val="21"/>
          <w:highlight w:val="none"/>
        </w:rPr>
        <w:t>对</w:t>
      </w:r>
      <w:r>
        <w:rPr>
          <w:rFonts w:hint="eastAsia" w:hAnsi="宋体"/>
          <w:color w:val="auto"/>
          <w:szCs w:val="21"/>
          <w:highlight w:val="none"/>
          <w:lang w:val="en-GB"/>
        </w:rPr>
        <w:t>节能产品、环境标志产品</w:t>
      </w:r>
      <w:r>
        <w:rPr>
          <w:rFonts w:ascii="宋体" w:hAnsi="宋体"/>
          <w:bCs/>
          <w:color w:val="auto"/>
          <w:szCs w:val="21"/>
          <w:highlight w:val="none"/>
        </w:rPr>
        <w:t>，按照以下比例给予相应的价格扣除：</w:t>
      </w:r>
    </w:p>
    <w:tbl>
      <w:tblPr>
        <w:tblStyle w:val="48"/>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21"/>
        <w:gridCol w:w="2404"/>
        <w:gridCol w:w="2338"/>
        <w:gridCol w:w="31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4" w:type="pct"/>
            <w:vAlign w:val="center"/>
          </w:tcPr>
          <w:p>
            <w:pPr>
              <w:pStyle w:val="86"/>
              <w:keepNext w:val="0"/>
              <w:tabs>
                <w:tab w:val="left" w:pos="0"/>
              </w:tabs>
              <w:spacing w:after="0" w:line="360" w:lineRule="auto"/>
              <w:jc w:val="center"/>
              <w:rPr>
                <w:rFonts w:ascii="宋体" w:hAnsi="宋体"/>
                <w:bCs/>
                <w:color w:val="auto"/>
                <w:szCs w:val="21"/>
                <w:highlight w:val="none"/>
              </w:rPr>
            </w:pPr>
            <w:r>
              <w:rPr>
                <w:rFonts w:ascii="宋体" w:hAnsi="宋体"/>
                <w:bCs/>
                <w:color w:val="auto"/>
                <w:szCs w:val="21"/>
                <w:highlight w:val="none"/>
              </w:rPr>
              <w:t>序号</w:t>
            </w:r>
          </w:p>
        </w:tc>
        <w:tc>
          <w:tcPr>
            <w:tcW w:w="1410" w:type="pct"/>
            <w:vAlign w:val="center"/>
          </w:tcPr>
          <w:p>
            <w:pPr>
              <w:pStyle w:val="86"/>
              <w:keepNext w:val="0"/>
              <w:tabs>
                <w:tab w:val="left" w:pos="0"/>
              </w:tabs>
              <w:spacing w:after="0" w:line="360" w:lineRule="auto"/>
              <w:jc w:val="center"/>
              <w:rPr>
                <w:rFonts w:ascii="宋体" w:hAnsi="宋体"/>
                <w:bCs/>
                <w:color w:val="auto"/>
                <w:szCs w:val="21"/>
                <w:highlight w:val="none"/>
              </w:rPr>
            </w:pPr>
            <w:r>
              <w:rPr>
                <w:rFonts w:ascii="宋体" w:hAnsi="宋体"/>
                <w:bCs/>
                <w:color w:val="auto"/>
                <w:szCs w:val="21"/>
                <w:highlight w:val="none"/>
              </w:rPr>
              <w:t>情形</w:t>
            </w:r>
          </w:p>
        </w:tc>
        <w:tc>
          <w:tcPr>
            <w:tcW w:w="1371" w:type="pct"/>
            <w:vAlign w:val="center"/>
          </w:tcPr>
          <w:p>
            <w:pPr>
              <w:pStyle w:val="86"/>
              <w:keepNext w:val="0"/>
              <w:tabs>
                <w:tab w:val="left" w:pos="0"/>
              </w:tabs>
              <w:spacing w:after="0" w:line="360" w:lineRule="auto"/>
              <w:jc w:val="center"/>
              <w:rPr>
                <w:rFonts w:ascii="宋体" w:hAnsi="宋体"/>
                <w:bCs/>
                <w:color w:val="auto"/>
                <w:szCs w:val="21"/>
                <w:highlight w:val="none"/>
              </w:rPr>
            </w:pPr>
            <w:r>
              <w:rPr>
                <w:rFonts w:ascii="宋体" w:hAnsi="宋体"/>
                <w:bCs/>
                <w:color w:val="auto"/>
                <w:szCs w:val="21"/>
                <w:highlight w:val="none"/>
              </w:rPr>
              <w:t>价格扣除比例（编制文件时由采购人确定）</w:t>
            </w:r>
          </w:p>
        </w:tc>
        <w:tc>
          <w:tcPr>
            <w:tcW w:w="1853" w:type="pct"/>
            <w:vAlign w:val="center"/>
          </w:tcPr>
          <w:p>
            <w:pPr>
              <w:pStyle w:val="86"/>
              <w:keepNext w:val="0"/>
              <w:tabs>
                <w:tab w:val="left" w:pos="0"/>
              </w:tabs>
              <w:spacing w:after="0" w:line="360" w:lineRule="auto"/>
              <w:jc w:val="center"/>
              <w:rPr>
                <w:rFonts w:ascii="宋体" w:hAnsi="宋体"/>
                <w:bCs/>
                <w:color w:val="auto"/>
                <w:szCs w:val="21"/>
                <w:highlight w:val="none"/>
              </w:rPr>
            </w:pPr>
            <w:r>
              <w:rPr>
                <w:rFonts w:ascii="宋体" w:hAnsi="宋体"/>
                <w:bCs/>
                <w:color w:val="auto"/>
                <w:szCs w:val="21"/>
                <w:highlight w:val="none"/>
              </w:rPr>
              <w:t>计算公式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4" w:type="pct"/>
            <w:vAlign w:val="center"/>
          </w:tcPr>
          <w:p>
            <w:pPr>
              <w:pStyle w:val="155"/>
              <w:spacing w:line="360" w:lineRule="auto"/>
              <w:jc w:val="center"/>
              <w:rPr>
                <w:rFonts w:ascii="宋体" w:hAnsi="宋体" w:cs="Times New Roman"/>
                <w:bCs/>
                <w:color w:val="auto"/>
                <w:kern w:val="2"/>
                <w:sz w:val="21"/>
                <w:szCs w:val="21"/>
                <w:highlight w:val="none"/>
              </w:rPr>
            </w:pPr>
            <w:r>
              <w:rPr>
                <w:rFonts w:ascii="宋体" w:hAnsi="宋体" w:cs="Times New Roman"/>
                <w:bCs/>
                <w:color w:val="auto"/>
                <w:kern w:val="2"/>
                <w:sz w:val="21"/>
                <w:szCs w:val="21"/>
                <w:highlight w:val="none"/>
              </w:rPr>
              <w:t>1</w:t>
            </w:r>
          </w:p>
        </w:tc>
        <w:tc>
          <w:tcPr>
            <w:tcW w:w="1410" w:type="pct"/>
            <w:vAlign w:val="center"/>
          </w:tcPr>
          <w:p>
            <w:pPr>
              <w:pStyle w:val="155"/>
              <w:spacing w:line="360" w:lineRule="auto"/>
              <w:jc w:val="center"/>
              <w:rPr>
                <w:rFonts w:ascii="宋体" w:hAnsi="宋体" w:cs="Times New Roman"/>
                <w:bCs/>
                <w:color w:val="auto"/>
                <w:kern w:val="2"/>
                <w:sz w:val="21"/>
                <w:szCs w:val="21"/>
                <w:highlight w:val="none"/>
              </w:rPr>
            </w:pPr>
            <w:r>
              <w:rPr>
                <w:rFonts w:hint="eastAsia" w:ascii="宋体" w:hAnsi="宋体" w:cs="Times New Roman"/>
                <w:bCs/>
                <w:color w:val="auto"/>
                <w:kern w:val="2"/>
                <w:sz w:val="21"/>
                <w:szCs w:val="21"/>
                <w:highlight w:val="none"/>
              </w:rPr>
              <w:t>涉及优先采购品目清单中的产品</w:t>
            </w:r>
          </w:p>
        </w:tc>
        <w:tc>
          <w:tcPr>
            <w:tcW w:w="1371" w:type="pct"/>
            <w:vAlign w:val="center"/>
          </w:tcPr>
          <w:p>
            <w:pPr>
              <w:pStyle w:val="155"/>
              <w:spacing w:line="360" w:lineRule="auto"/>
              <w:jc w:val="center"/>
              <w:rPr>
                <w:rFonts w:ascii="宋体" w:hAnsi="宋体" w:cs="Times New Roman"/>
                <w:bCs/>
                <w:color w:val="auto"/>
                <w:kern w:val="2"/>
                <w:sz w:val="21"/>
                <w:szCs w:val="21"/>
                <w:highlight w:val="none"/>
              </w:rPr>
            </w:pPr>
            <w:r>
              <w:rPr>
                <w:rFonts w:ascii="宋体" w:hAnsi="宋体" w:cs="Times New Roman"/>
                <w:bCs/>
                <w:color w:val="auto"/>
                <w:kern w:val="2"/>
                <w:sz w:val="21"/>
                <w:szCs w:val="21"/>
                <w:highlight w:val="none"/>
              </w:rPr>
              <w:t>对</w:t>
            </w:r>
            <w:r>
              <w:rPr>
                <w:rFonts w:hint="eastAsia" w:hAnsi="宋体"/>
                <w:color w:val="auto"/>
                <w:sz w:val="21"/>
                <w:szCs w:val="21"/>
                <w:highlight w:val="none"/>
                <w:lang w:val="en-GB"/>
              </w:rPr>
              <w:t>节能产品、环境标志产品</w:t>
            </w:r>
            <w:r>
              <w:rPr>
                <w:rFonts w:ascii="宋体" w:hAnsi="宋体" w:cs="Times New Roman"/>
                <w:bCs/>
                <w:color w:val="auto"/>
                <w:kern w:val="2"/>
                <w:sz w:val="21"/>
                <w:szCs w:val="21"/>
                <w:highlight w:val="none"/>
              </w:rPr>
              <w:t>的价格扣除5%</w:t>
            </w:r>
          </w:p>
        </w:tc>
        <w:tc>
          <w:tcPr>
            <w:tcW w:w="1853" w:type="pct"/>
            <w:vAlign w:val="center"/>
          </w:tcPr>
          <w:p>
            <w:pPr>
              <w:pStyle w:val="155"/>
              <w:spacing w:line="360" w:lineRule="auto"/>
              <w:jc w:val="center"/>
              <w:rPr>
                <w:rFonts w:ascii="宋体" w:hAnsi="宋体" w:cs="Times New Roman"/>
                <w:bCs/>
                <w:color w:val="auto"/>
                <w:kern w:val="2"/>
                <w:sz w:val="21"/>
                <w:szCs w:val="21"/>
                <w:highlight w:val="none"/>
              </w:rPr>
            </w:pPr>
            <w:r>
              <w:rPr>
                <w:rFonts w:ascii="宋体" w:hAnsi="宋体" w:cs="Times New Roman"/>
                <w:bCs/>
                <w:color w:val="auto"/>
                <w:kern w:val="2"/>
                <w:sz w:val="21"/>
                <w:szCs w:val="21"/>
                <w:highlight w:val="none"/>
              </w:rPr>
              <w:t>评标价＝总投标报价—</w:t>
            </w:r>
            <w:r>
              <w:rPr>
                <w:rFonts w:hint="eastAsia" w:hAnsi="宋体"/>
                <w:color w:val="auto"/>
                <w:sz w:val="21"/>
                <w:szCs w:val="21"/>
                <w:highlight w:val="none"/>
                <w:lang w:val="en-GB"/>
              </w:rPr>
              <w:t>节能产品、环境标志产品</w:t>
            </w:r>
            <w:r>
              <w:rPr>
                <w:rFonts w:ascii="宋体" w:hAnsi="宋体" w:cs="Times New Roman"/>
                <w:bCs/>
                <w:color w:val="auto"/>
                <w:kern w:val="2"/>
                <w:sz w:val="21"/>
                <w:szCs w:val="21"/>
                <w:highlight w:val="none"/>
              </w:rPr>
              <w:t>的价格×5%</w:t>
            </w:r>
          </w:p>
        </w:tc>
      </w:tr>
    </w:tbl>
    <w:p>
      <w:pPr>
        <w:pStyle w:val="155"/>
        <w:spacing w:line="360" w:lineRule="auto"/>
        <w:rPr>
          <w:rFonts w:ascii="宋体" w:hAnsi="宋体" w:cs="Times New Roman"/>
          <w:bCs/>
          <w:color w:val="auto"/>
          <w:kern w:val="2"/>
          <w:sz w:val="21"/>
          <w:szCs w:val="21"/>
          <w:highlight w:val="none"/>
        </w:rPr>
      </w:pPr>
      <w:r>
        <w:rPr>
          <w:rFonts w:ascii="宋体" w:hAnsi="宋体" w:cs="Times New Roman"/>
          <w:bCs/>
          <w:color w:val="auto"/>
          <w:kern w:val="2"/>
          <w:sz w:val="21"/>
          <w:szCs w:val="21"/>
          <w:highlight w:val="none"/>
        </w:rPr>
        <w:t>注：1</w:t>
      </w:r>
      <w:r>
        <w:rPr>
          <w:rFonts w:hint="eastAsia" w:ascii="宋体" w:hAnsi="宋体" w:cs="Times New Roman"/>
          <w:bCs/>
          <w:color w:val="auto"/>
          <w:kern w:val="2"/>
          <w:sz w:val="21"/>
          <w:szCs w:val="21"/>
          <w:highlight w:val="none"/>
        </w:rPr>
        <w:t>）</w:t>
      </w:r>
      <w:r>
        <w:rPr>
          <w:rFonts w:hint="eastAsia" w:hAnsi="宋体"/>
          <w:color w:val="auto"/>
          <w:sz w:val="21"/>
          <w:szCs w:val="21"/>
          <w:highlight w:val="none"/>
          <w:lang w:val="en-GB"/>
        </w:rPr>
        <w:t>节能产品、环境标志产品证明材料：提供节能产品认证证书或环境标志产品认证证书，及节能产品政府采购品目清单和环境标志产品政府采购品目清单。</w:t>
      </w:r>
    </w:p>
    <w:bookmarkEnd w:id="88"/>
    <w:p>
      <w:pPr>
        <w:pStyle w:val="2"/>
        <w:keepNext/>
        <w:keepLines/>
        <w:pageBreakBefore/>
        <w:numPr>
          <w:ilvl w:val="0"/>
          <w:numId w:val="7"/>
        </w:numPr>
        <w:tabs>
          <w:tab w:val="left" w:pos="1080"/>
        </w:tabs>
        <w:spacing w:line="360" w:lineRule="auto"/>
        <w:ind w:left="1262" w:hanging="1262" w:hangingChars="449"/>
        <w:jc w:val="center"/>
        <w:rPr>
          <w:rFonts w:hAnsi="宋体"/>
          <w:b/>
          <w:bCs/>
          <w:color w:val="auto"/>
          <w:kern w:val="44"/>
          <w:sz w:val="28"/>
          <w:szCs w:val="28"/>
          <w:highlight w:val="none"/>
          <w:lang w:val="zh-CN"/>
        </w:rPr>
      </w:pPr>
      <w:r>
        <w:rPr>
          <w:rFonts w:hint="eastAsia" w:hAnsi="宋体"/>
          <w:b/>
          <w:bCs/>
          <w:color w:val="auto"/>
          <w:kern w:val="44"/>
          <w:sz w:val="28"/>
          <w:szCs w:val="28"/>
          <w:highlight w:val="none"/>
        </w:rPr>
        <w:t xml:space="preserve"> </w:t>
      </w:r>
      <w:bookmarkStart w:id="89" w:name="_Toc26040"/>
      <w:r>
        <w:rPr>
          <w:rFonts w:hint="eastAsia" w:hAnsi="宋体"/>
          <w:b/>
          <w:bCs/>
          <w:color w:val="auto"/>
          <w:kern w:val="44"/>
          <w:sz w:val="28"/>
          <w:szCs w:val="28"/>
          <w:highlight w:val="none"/>
          <w:lang w:val="zh-CN"/>
        </w:rPr>
        <w:t>合同条款格式</w:t>
      </w:r>
      <w:bookmarkEnd w:id="89"/>
    </w:p>
    <w:p>
      <w:pPr>
        <w:jc w:val="center"/>
        <w:rPr>
          <w:rFonts w:hAnsi="宋体"/>
          <w:color w:val="auto"/>
          <w:highlight w:val="none"/>
        </w:rPr>
      </w:pPr>
      <w:r>
        <w:rPr>
          <w:rFonts w:hint="eastAsia" w:hAnsi="宋体"/>
          <w:bCs/>
          <w:color w:val="auto"/>
          <w:kern w:val="44"/>
          <w:sz w:val="28"/>
          <w:szCs w:val="28"/>
          <w:highlight w:val="none"/>
          <w:lang w:val="zh-CN"/>
        </w:rPr>
        <w:t>（仅供参考）</w:t>
      </w:r>
    </w:p>
    <w:p>
      <w:pPr>
        <w:autoSpaceDE/>
        <w:autoSpaceDN/>
        <w:snapToGrid w:val="0"/>
        <w:spacing w:line="360" w:lineRule="auto"/>
        <w:jc w:val="both"/>
        <w:rPr>
          <w:rFonts w:hAnsi="宋体"/>
          <w:b/>
          <w:color w:val="auto"/>
          <w:spacing w:val="200"/>
          <w:kern w:val="2"/>
          <w:sz w:val="72"/>
          <w:szCs w:val="72"/>
          <w:highlight w:val="none"/>
        </w:rPr>
      </w:pPr>
    </w:p>
    <w:p>
      <w:pPr>
        <w:jc w:val="center"/>
        <w:rPr>
          <w:color w:val="auto"/>
          <w:sz w:val="52"/>
          <w:szCs w:val="52"/>
          <w:highlight w:val="none"/>
        </w:rPr>
      </w:pPr>
    </w:p>
    <w:p>
      <w:pPr>
        <w:jc w:val="center"/>
        <w:rPr>
          <w:color w:val="auto"/>
          <w:sz w:val="52"/>
          <w:szCs w:val="52"/>
          <w:highlight w:val="none"/>
        </w:rPr>
      </w:pPr>
    </w:p>
    <w:p>
      <w:pPr>
        <w:spacing w:line="560" w:lineRule="exact"/>
        <w:jc w:val="center"/>
        <w:rPr>
          <w:rFonts w:hAnsi="宋体" w:cs="宋体"/>
          <w:color w:val="auto"/>
          <w:sz w:val="44"/>
          <w:szCs w:val="52"/>
          <w:highlight w:val="none"/>
        </w:rPr>
      </w:pPr>
      <w:r>
        <w:rPr>
          <w:rFonts w:hint="eastAsia" w:hAnsi="宋体" w:cs="宋体"/>
          <w:color w:val="auto"/>
          <w:sz w:val="44"/>
          <w:szCs w:val="52"/>
          <w:highlight w:val="none"/>
        </w:rPr>
        <w:t>霄边社区典型村“百千万工程”建设提升规划编制项目合同</w:t>
      </w:r>
    </w:p>
    <w:p>
      <w:pPr>
        <w:spacing w:line="460" w:lineRule="exact"/>
        <w:jc w:val="center"/>
        <w:rPr>
          <w:rFonts w:hAnsi="宋体" w:cs="宋体"/>
          <w:color w:val="auto"/>
          <w:sz w:val="36"/>
          <w:szCs w:val="36"/>
          <w:highlight w:val="none"/>
        </w:rPr>
      </w:pPr>
    </w:p>
    <w:p>
      <w:pPr>
        <w:spacing w:line="460" w:lineRule="exact"/>
        <w:jc w:val="center"/>
        <w:rPr>
          <w:rFonts w:hAnsi="宋体" w:cs="宋体"/>
          <w:color w:val="auto"/>
          <w:sz w:val="36"/>
          <w:szCs w:val="36"/>
          <w:highlight w:val="none"/>
        </w:rPr>
      </w:pPr>
    </w:p>
    <w:p>
      <w:pPr>
        <w:spacing w:line="460" w:lineRule="exact"/>
        <w:jc w:val="center"/>
        <w:rPr>
          <w:rFonts w:hAnsi="宋体" w:cs="宋体"/>
          <w:color w:val="auto"/>
          <w:sz w:val="36"/>
          <w:szCs w:val="36"/>
          <w:highlight w:val="none"/>
        </w:rPr>
      </w:pPr>
    </w:p>
    <w:p>
      <w:pPr>
        <w:spacing w:line="360" w:lineRule="auto"/>
        <w:rPr>
          <w:rFonts w:hAnsi="宋体" w:cs="宋体"/>
          <w:b/>
          <w:color w:val="auto"/>
          <w:sz w:val="30"/>
          <w:szCs w:val="30"/>
          <w:highlight w:val="none"/>
        </w:rPr>
      </w:pPr>
    </w:p>
    <w:p>
      <w:pPr>
        <w:spacing w:line="360" w:lineRule="auto"/>
        <w:rPr>
          <w:rFonts w:hAnsi="宋体" w:cs="宋体"/>
          <w:b/>
          <w:color w:val="auto"/>
          <w:sz w:val="30"/>
          <w:szCs w:val="30"/>
          <w:highlight w:val="none"/>
        </w:rPr>
      </w:pPr>
    </w:p>
    <w:p>
      <w:pPr>
        <w:spacing w:line="360" w:lineRule="auto"/>
        <w:rPr>
          <w:rFonts w:hAnsi="宋体" w:cs="宋体"/>
          <w:b/>
          <w:color w:val="auto"/>
          <w:sz w:val="30"/>
          <w:szCs w:val="30"/>
          <w:highlight w:val="none"/>
        </w:rPr>
      </w:pPr>
    </w:p>
    <w:p>
      <w:pPr>
        <w:spacing w:line="360" w:lineRule="auto"/>
        <w:rPr>
          <w:rFonts w:hAnsi="宋体" w:cs="宋体"/>
          <w:b/>
          <w:color w:val="auto"/>
          <w:sz w:val="32"/>
          <w:szCs w:val="30"/>
          <w:highlight w:val="none"/>
        </w:rPr>
      </w:pPr>
    </w:p>
    <w:p>
      <w:pPr>
        <w:spacing w:line="360" w:lineRule="auto"/>
        <w:rPr>
          <w:rFonts w:hAnsi="宋体" w:cs="宋体"/>
          <w:color w:val="auto"/>
          <w:sz w:val="28"/>
          <w:szCs w:val="30"/>
          <w:highlight w:val="none"/>
          <w:u w:val="single"/>
        </w:rPr>
      </w:pPr>
      <w:r>
        <w:rPr>
          <w:rFonts w:hint="eastAsia" w:hAnsi="宋体" w:cs="宋体"/>
          <w:b/>
          <w:color w:val="auto"/>
          <w:sz w:val="28"/>
          <w:szCs w:val="30"/>
          <w:highlight w:val="none"/>
        </w:rPr>
        <w:t>项目名称 ：</w:t>
      </w:r>
      <w:bookmarkStart w:id="90" w:name="_Hlk148104093"/>
      <w:r>
        <w:rPr>
          <w:rFonts w:hint="eastAsia" w:hAnsi="宋体" w:cs="宋体"/>
          <w:b/>
          <w:color w:val="auto"/>
          <w:sz w:val="28"/>
          <w:szCs w:val="30"/>
          <w:highlight w:val="none"/>
          <w:u w:val="single"/>
        </w:rPr>
        <w:t xml:space="preserve"> </w:t>
      </w:r>
      <w:r>
        <w:rPr>
          <w:rFonts w:hAnsi="宋体" w:cs="宋体"/>
          <w:b/>
          <w:color w:val="auto"/>
          <w:sz w:val="28"/>
          <w:szCs w:val="30"/>
          <w:highlight w:val="none"/>
          <w:u w:val="single"/>
        </w:rPr>
        <w:t xml:space="preserve"> </w:t>
      </w:r>
      <w:bookmarkEnd w:id="90"/>
      <w:r>
        <w:rPr>
          <w:rFonts w:hint="eastAsia" w:hAnsi="宋体" w:cs="宋体"/>
          <w:color w:val="auto"/>
          <w:sz w:val="28"/>
          <w:szCs w:val="32"/>
          <w:highlight w:val="none"/>
          <w:u w:val="single"/>
        </w:rPr>
        <w:t xml:space="preserve">                              </w:t>
      </w:r>
    </w:p>
    <w:p>
      <w:pPr>
        <w:spacing w:line="360" w:lineRule="auto"/>
        <w:rPr>
          <w:rFonts w:hAnsi="宋体" w:cs="宋体"/>
          <w:color w:val="auto"/>
          <w:sz w:val="28"/>
          <w:szCs w:val="32"/>
          <w:highlight w:val="none"/>
          <w:u w:val="single"/>
        </w:rPr>
      </w:pPr>
      <w:r>
        <w:rPr>
          <w:rFonts w:hint="eastAsia" w:hAnsi="宋体" w:cs="宋体"/>
          <w:b/>
          <w:color w:val="auto"/>
          <w:sz w:val="28"/>
          <w:szCs w:val="30"/>
          <w:highlight w:val="none"/>
        </w:rPr>
        <w:t>委托方（甲方）：</w:t>
      </w:r>
      <w:r>
        <w:rPr>
          <w:rFonts w:hint="eastAsia" w:hAnsi="宋体" w:cs="宋体"/>
          <w:color w:val="auto"/>
          <w:sz w:val="28"/>
          <w:szCs w:val="32"/>
          <w:highlight w:val="none"/>
          <w:u w:val="single"/>
        </w:rPr>
        <w:t xml:space="preserve">                            </w:t>
      </w:r>
    </w:p>
    <w:p>
      <w:pPr>
        <w:spacing w:line="360" w:lineRule="auto"/>
        <w:rPr>
          <w:rFonts w:hAnsi="宋体" w:cs="宋体"/>
          <w:color w:val="auto"/>
          <w:sz w:val="28"/>
          <w:szCs w:val="32"/>
          <w:highlight w:val="none"/>
          <w:u w:val="single"/>
        </w:rPr>
      </w:pPr>
      <w:r>
        <w:rPr>
          <w:rFonts w:hint="eastAsia" w:hAnsi="宋体" w:cs="宋体"/>
          <w:b/>
          <w:color w:val="auto"/>
          <w:sz w:val="28"/>
          <w:szCs w:val="30"/>
          <w:highlight w:val="none"/>
        </w:rPr>
        <w:t>受托方（乙方）：</w:t>
      </w:r>
      <w:r>
        <w:rPr>
          <w:rFonts w:hint="eastAsia" w:hAnsi="宋体" w:cs="宋体"/>
          <w:color w:val="auto"/>
          <w:sz w:val="28"/>
          <w:szCs w:val="32"/>
          <w:highlight w:val="none"/>
          <w:u w:val="single"/>
        </w:rPr>
        <w:t xml:space="preserve">                            </w:t>
      </w:r>
    </w:p>
    <w:p>
      <w:pPr>
        <w:spacing w:line="360" w:lineRule="auto"/>
        <w:rPr>
          <w:rFonts w:hAnsi="宋体" w:cs="宋体"/>
          <w:color w:val="auto"/>
          <w:sz w:val="28"/>
          <w:szCs w:val="32"/>
          <w:highlight w:val="none"/>
          <w:u w:val="single"/>
        </w:rPr>
      </w:pPr>
    </w:p>
    <w:p>
      <w:pPr>
        <w:spacing w:line="360" w:lineRule="auto"/>
        <w:rPr>
          <w:rFonts w:hAnsi="宋体" w:cs="宋体"/>
          <w:color w:val="auto"/>
          <w:sz w:val="28"/>
          <w:szCs w:val="32"/>
          <w:highlight w:val="none"/>
          <w:u w:val="single"/>
        </w:rPr>
      </w:pPr>
      <w:r>
        <w:rPr>
          <w:rFonts w:hint="eastAsia" w:hAnsi="宋体" w:cs="宋体"/>
          <w:b/>
          <w:color w:val="auto"/>
          <w:sz w:val="28"/>
          <w:szCs w:val="30"/>
          <w:highlight w:val="none"/>
        </w:rPr>
        <w:t>签订地点：</w:t>
      </w:r>
      <w:r>
        <w:rPr>
          <w:rFonts w:hint="eastAsia" w:hAnsi="宋体" w:cs="宋体"/>
          <w:color w:val="auto"/>
          <w:sz w:val="28"/>
          <w:szCs w:val="32"/>
          <w:highlight w:val="none"/>
          <w:u w:val="single"/>
        </w:rPr>
        <w:t xml:space="preserve">                                        </w:t>
      </w:r>
    </w:p>
    <w:p>
      <w:pPr>
        <w:spacing w:line="360" w:lineRule="auto"/>
        <w:rPr>
          <w:rFonts w:hAnsi="宋体" w:cs="宋体"/>
          <w:color w:val="auto"/>
          <w:sz w:val="28"/>
          <w:szCs w:val="32"/>
          <w:highlight w:val="none"/>
          <w:u w:val="single"/>
        </w:rPr>
      </w:pPr>
      <w:r>
        <w:rPr>
          <w:rFonts w:hint="eastAsia" w:hAnsi="宋体" w:cs="宋体"/>
          <w:b/>
          <w:color w:val="auto"/>
          <w:sz w:val="28"/>
          <w:szCs w:val="30"/>
          <w:highlight w:val="none"/>
        </w:rPr>
        <w:t>签订时间：</w:t>
      </w:r>
      <w:r>
        <w:rPr>
          <w:rFonts w:hint="eastAsia" w:hAnsi="宋体" w:cs="宋体"/>
          <w:color w:val="auto"/>
          <w:sz w:val="28"/>
          <w:szCs w:val="32"/>
          <w:highlight w:val="none"/>
          <w:u w:val="single"/>
        </w:rPr>
        <w:t xml:space="preserve">                                        </w:t>
      </w:r>
    </w:p>
    <w:p>
      <w:pPr>
        <w:spacing w:line="720" w:lineRule="auto"/>
        <w:rPr>
          <w:rFonts w:hAnsi="宋体" w:cs="宋体"/>
          <w:color w:val="auto"/>
          <w:sz w:val="28"/>
          <w:szCs w:val="36"/>
          <w:highlight w:val="none"/>
        </w:rPr>
        <w:sectPr>
          <w:footerReference r:id="rId3" w:type="default"/>
          <w:type w:val="nextColumn"/>
          <w:pgSz w:w="11906" w:h="16838"/>
          <w:pgMar w:top="1440" w:right="1800" w:bottom="1440" w:left="1800" w:header="851" w:footer="945" w:gutter="0"/>
          <w:pgNumType w:start="0"/>
          <w:cols w:space="720" w:num="1"/>
          <w:titlePg/>
          <w:docGrid w:type="lines" w:linePitch="312" w:charSpace="0"/>
        </w:sectPr>
      </w:pPr>
    </w:p>
    <w:p>
      <w:pPr>
        <w:spacing w:line="560" w:lineRule="exact"/>
        <w:jc w:val="center"/>
        <w:rPr>
          <w:rFonts w:hAnsi="宋体" w:cs="宋体"/>
          <w:color w:val="auto"/>
          <w:sz w:val="44"/>
          <w:szCs w:val="52"/>
          <w:highlight w:val="none"/>
        </w:rPr>
      </w:pPr>
      <w:r>
        <w:rPr>
          <w:rFonts w:hint="eastAsia" w:hAnsi="宋体" w:cs="宋体"/>
          <w:color w:val="auto"/>
          <w:sz w:val="44"/>
          <w:szCs w:val="52"/>
          <w:highlight w:val="none"/>
        </w:rPr>
        <w:t>技术服务合同</w:t>
      </w:r>
    </w:p>
    <w:p>
      <w:pPr>
        <w:spacing w:line="560" w:lineRule="exact"/>
        <w:jc w:val="center"/>
        <w:rPr>
          <w:rFonts w:hAnsi="宋体" w:cs="宋体"/>
          <w:color w:val="auto"/>
          <w:sz w:val="44"/>
          <w:szCs w:val="52"/>
          <w:highlight w:val="none"/>
        </w:rPr>
      </w:pPr>
    </w:p>
    <w:p>
      <w:pPr>
        <w:spacing w:line="360" w:lineRule="auto"/>
        <w:rPr>
          <w:rFonts w:hAnsi="宋体" w:cs="宋体"/>
          <w:color w:val="auto"/>
          <w:sz w:val="24"/>
          <w:szCs w:val="24"/>
          <w:highlight w:val="none"/>
        </w:rPr>
      </w:pPr>
    </w:p>
    <w:p>
      <w:pPr>
        <w:snapToGrid w:val="0"/>
        <w:spacing w:line="360" w:lineRule="auto"/>
        <w:rPr>
          <w:rFonts w:asciiTheme="minorEastAsia" w:hAnsiTheme="minorEastAsia" w:eastAsiaTheme="minorEastAsia" w:cstheme="minorEastAsia"/>
          <w:color w:val="auto"/>
          <w:sz w:val="24"/>
          <w:szCs w:val="24"/>
          <w:highlight w:val="none"/>
          <w:u w:val="single"/>
        </w:rPr>
      </w:pPr>
      <w:r>
        <w:rPr>
          <w:rFonts w:hint="eastAsia" w:asciiTheme="minorEastAsia" w:hAnsiTheme="minorEastAsia" w:eastAsiaTheme="minorEastAsia" w:cstheme="minorEastAsia"/>
          <w:color w:val="auto"/>
          <w:sz w:val="24"/>
          <w:szCs w:val="24"/>
          <w:highlight w:val="none"/>
        </w:rPr>
        <w:t>委托方（甲方）：</w:t>
      </w:r>
      <w:r>
        <w:rPr>
          <w:rFonts w:hint="eastAsia" w:asciiTheme="minorEastAsia" w:hAnsiTheme="minorEastAsia" w:eastAsiaTheme="minorEastAsia" w:cstheme="minorEastAsia"/>
          <w:color w:val="auto"/>
          <w:sz w:val="24"/>
          <w:szCs w:val="24"/>
          <w:highlight w:val="none"/>
          <w:u w:val="single"/>
        </w:rPr>
        <w:t xml:space="preserve">                            </w:t>
      </w:r>
    </w:p>
    <w:p>
      <w:pPr>
        <w:snapToGrid w:val="0"/>
        <w:spacing w:line="360" w:lineRule="auto"/>
        <w:rPr>
          <w:rFonts w:asciiTheme="minorEastAsia" w:hAnsiTheme="minorEastAsia" w:eastAsiaTheme="minorEastAsia" w:cstheme="minorEastAsia"/>
          <w:color w:val="auto"/>
          <w:sz w:val="24"/>
          <w:szCs w:val="24"/>
          <w:highlight w:val="none"/>
          <w:u w:val="single"/>
        </w:rPr>
      </w:pPr>
      <w:r>
        <w:rPr>
          <w:rFonts w:hint="eastAsia" w:asciiTheme="minorEastAsia" w:hAnsiTheme="minorEastAsia" w:eastAsiaTheme="minorEastAsia" w:cstheme="minorEastAsia"/>
          <w:color w:val="auto"/>
          <w:sz w:val="24"/>
          <w:szCs w:val="24"/>
          <w:highlight w:val="none"/>
        </w:rPr>
        <w:t>住  所  地 ：</w:t>
      </w:r>
      <w:r>
        <w:rPr>
          <w:rFonts w:hint="eastAsia" w:asciiTheme="minorEastAsia" w:hAnsiTheme="minorEastAsia" w:eastAsiaTheme="minorEastAsia" w:cstheme="minorEastAsia"/>
          <w:color w:val="auto"/>
          <w:sz w:val="24"/>
          <w:szCs w:val="24"/>
          <w:highlight w:val="none"/>
          <w:u w:val="single"/>
        </w:rPr>
        <w:t xml:space="preserve">                            </w:t>
      </w:r>
    </w:p>
    <w:p>
      <w:pPr>
        <w:snapToGrid w:val="0"/>
        <w:spacing w:line="360" w:lineRule="auto"/>
        <w:rPr>
          <w:rFonts w:asciiTheme="minorEastAsia" w:hAnsiTheme="minorEastAsia" w:eastAsiaTheme="minorEastAsia" w:cstheme="minorEastAsia"/>
          <w:color w:val="auto"/>
          <w:sz w:val="24"/>
          <w:szCs w:val="24"/>
          <w:highlight w:val="none"/>
          <w:u w:val="single"/>
        </w:rPr>
      </w:pPr>
      <w:r>
        <w:rPr>
          <w:rFonts w:hint="eastAsia" w:asciiTheme="minorEastAsia" w:hAnsiTheme="minorEastAsia" w:eastAsiaTheme="minorEastAsia" w:cstheme="minorEastAsia"/>
          <w:color w:val="auto"/>
          <w:sz w:val="24"/>
          <w:szCs w:val="24"/>
          <w:highlight w:val="none"/>
        </w:rPr>
        <w:t>法定代表人 ：</w:t>
      </w:r>
      <w:r>
        <w:rPr>
          <w:rFonts w:hint="eastAsia" w:asciiTheme="minorEastAsia" w:hAnsiTheme="minorEastAsia" w:eastAsiaTheme="minorEastAsia" w:cstheme="minorEastAsia"/>
          <w:color w:val="auto"/>
          <w:sz w:val="24"/>
          <w:szCs w:val="24"/>
          <w:highlight w:val="none"/>
          <w:u w:val="single"/>
        </w:rPr>
        <w:t xml:space="preserve">                             </w:t>
      </w:r>
    </w:p>
    <w:p>
      <w:pPr>
        <w:snapToGrid w:val="0"/>
        <w:spacing w:line="360" w:lineRule="auto"/>
        <w:rPr>
          <w:rFonts w:asciiTheme="minorEastAsia" w:hAnsiTheme="minorEastAsia" w:eastAsiaTheme="minorEastAsia" w:cstheme="minorEastAsia"/>
          <w:color w:val="auto"/>
          <w:sz w:val="24"/>
          <w:szCs w:val="24"/>
          <w:highlight w:val="none"/>
          <w:u w:val="single"/>
        </w:rPr>
      </w:pPr>
      <w:r>
        <w:rPr>
          <w:rFonts w:hint="eastAsia" w:asciiTheme="minorEastAsia" w:hAnsiTheme="minorEastAsia" w:eastAsiaTheme="minorEastAsia" w:cstheme="minorEastAsia"/>
          <w:color w:val="auto"/>
          <w:sz w:val="24"/>
          <w:szCs w:val="24"/>
          <w:highlight w:val="none"/>
        </w:rPr>
        <w:t>项目联系人 ：</w:t>
      </w:r>
      <w:r>
        <w:rPr>
          <w:rFonts w:hint="eastAsia" w:asciiTheme="minorEastAsia" w:hAnsiTheme="minorEastAsia" w:eastAsiaTheme="minorEastAsia" w:cstheme="minorEastAsia"/>
          <w:color w:val="auto"/>
          <w:sz w:val="24"/>
          <w:szCs w:val="24"/>
          <w:highlight w:val="none"/>
          <w:u w:val="single"/>
        </w:rPr>
        <w:t xml:space="preserve">                             </w:t>
      </w:r>
    </w:p>
    <w:p>
      <w:pPr>
        <w:snapToGrid w:val="0"/>
        <w:spacing w:line="360" w:lineRule="auto"/>
        <w:rPr>
          <w:rFonts w:asciiTheme="minorEastAsia" w:hAnsiTheme="minorEastAsia" w:eastAsiaTheme="minorEastAsia" w:cstheme="minorEastAsia"/>
          <w:color w:val="auto"/>
          <w:sz w:val="24"/>
          <w:szCs w:val="24"/>
          <w:highlight w:val="none"/>
          <w:u w:val="single"/>
        </w:rPr>
      </w:pPr>
      <w:r>
        <w:rPr>
          <w:rFonts w:hint="eastAsia" w:asciiTheme="minorEastAsia" w:hAnsiTheme="minorEastAsia" w:eastAsiaTheme="minorEastAsia" w:cstheme="minorEastAsia"/>
          <w:color w:val="auto"/>
          <w:sz w:val="24"/>
          <w:szCs w:val="24"/>
          <w:highlight w:val="none"/>
        </w:rPr>
        <w:t>通 讯 地 址：</w:t>
      </w:r>
      <w:r>
        <w:rPr>
          <w:rFonts w:hint="eastAsia" w:asciiTheme="minorEastAsia" w:hAnsiTheme="minorEastAsia" w:eastAsiaTheme="minorEastAsia" w:cstheme="minorEastAsia"/>
          <w:color w:val="auto"/>
          <w:sz w:val="24"/>
          <w:szCs w:val="24"/>
          <w:highlight w:val="none"/>
          <w:u w:val="single"/>
        </w:rPr>
        <w:t xml:space="preserve">                            </w:t>
      </w:r>
    </w:p>
    <w:p>
      <w:pPr>
        <w:snapToGrid w:val="0"/>
        <w:spacing w:line="360" w:lineRule="auto"/>
        <w:rPr>
          <w:rFonts w:asciiTheme="minorEastAsia" w:hAnsiTheme="minorEastAsia" w:eastAsiaTheme="minorEastAsia" w:cstheme="minorEastAsia"/>
          <w:color w:val="auto"/>
          <w:sz w:val="24"/>
          <w:szCs w:val="24"/>
          <w:highlight w:val="none"/>
          <w:u w:val="single"/>
        </w:rPr>
      </w:pPr>
      <w:r>
        <w:rPr>
          <w:rFonts w:hint="eastAsia" w:asciiTheme="minorEastAsia" w:hAnsiTheme="minorEastAsia" w:eastAsiaTheme="minorEastAsia" w:cstheme="minorEastAsia"/>
          <w:color w:val="auto"/>
          <w:sz w:val="24"/>
          <w:szCs w:val="24"/>
          <w:highlight w:val="none"/>
        </w:rPr>
        <w:t>电       话：</w:t>
      </w:r>
      <w:r>
        <w:rPr>
          <w:rFonts w:hint="eastAsia" w:asciiTheme="minorEastAsia" w:hAnsiTheme="minorEastAsia" w:eastAsiaTheme="minorEastAsia" w:cstheme="minorEastAsia"/>
          <w:color w:val="auto"/>
          <w:sz w:val="24"/>
          <w:szCs w:val="24"/>
          <w:highlight w:val="none"/>
          <w:u w:val="single"/>
        </w:rPr>
        <w:t xml:space="preserve">                             </w:t>
      </w:r>
    </w:p>
    <w:p>
      <w:pPr>
        <w:spacing w:line="360" w:lineRule="auto"/>
        <w:rPr>
          <w:rFonts w:asciiTheme="minorEastAsia" w:hAnsiTheme="minorEastAsia" w:eastAsiaTheme="minorEastAsia" w:cstheme="minorEastAsia"/>
          <w:color w:val="auto"/>
          <w:sz w:val="24"/>
          <w:szCs w:val="24"/>
          <w:highlight w:val="none"/>
        </w:rPr>
      </w:pPr>
    </w:p>
    <w:p>
      <w:pPr>
        <w:snapToGrid w:val="0"/>
        <w:spacing w:line="360" w:lineRule="auto"/>
        <w:rPr>
          <w:rFonts w:asciiTheme="minorEastAsia" w:hAnsiTheme="minorEastAsia" w:eastAsiaTheme="minorEastAsia" w:cstheme="minorEastAsia"/>
          <w:color w:val="auto"/>
          <w:sz w:val="24"/>
          <w:szCs w:val="24"/>
          <w:highlight w:val="none"/>
          <w:u w:val="single"/>
        </w:rPr>
      </w:pPr>
      <w:r>
        <w:rPr>
          <w:rFonts w:hint="eastAsia" w:asciiTheme="minorEastAsia" w:hAnsiTheme="minorEastAsia" w:eastAsiaTheme="minorEastAsia" w:cstheme="minorEastAsia"/>
          <w:color w:val="auto"/>
          <w:sz w:val="24"/>
          <w:szCs w:val="24"/>
          <w:highlight w:val="none"/>
        </w:rPr>
        <w:t>受托方（</w:t>
      </w:r>
      <w:r>
        <w:rPr>
          <w:rFonts w:hint="eastAsia" w:asciiTheme="minorEastAsia" w:hAnsiTheme="minorEastAsia" w:eastAsiaTheme="minorEastAsia" w:cstheme="minorEastAsia"/>
          <w:color w:val="auto"/>
          <w:sz w:val="24"/>
          <w:szCs w:val="24"/>
          <w:highlight w:val="none"/>
          <w:lang w:val="en-US" w:eastAsia="zh-CN"/>
        </w:rPr>
        <w:t>乙</w:t>
      </w:r>
      <w:r>
        <w:rPr>
          <w:rFonts w:hint="eastAsia" w:asciiTheme="minorEastAsia" w:hAnsiTheme="minorEastAsia" w:eastAsiaTheme="minorEastAsia" w:cstheme="minorEastAsia"/>
          <w:color w:val="auto"/>
          <w:sz w:val="24"/>
          <w:szCs w:val="24"/>
          <w:highlight w:val="none"/>
        </w:rPr>
        <w:t>方）：</w:t>
      </w:r>
      <w:r>
        <w:rPr>
          <w:rFonts w:hint="eastAsia" w:asciiTheme="minorEastAsia" w:hAnsiTheme="minorEastAsia" w:eastAsiaTheme="minorEastAsia" w:cstheme="minorEastAsia"/>
          <w:color w:val="auto"/>
          <w:sz w:val="24"/>
          <w:szCs w:val="24"/>
          <w:highlight w:val="none"/>
          <w:u w:val="single"/>
        </w:rPr>
        <w:t xml:space="preserve">                            </w:t>
      </w:r>
    </w:p>
    <w:p>
      <w:pPr>
        <w:snapToGrid w:val="0"/>
        <w:spacing w:line="360" w:lineRule="auto"/>
        <w:rPr>
          <w:rFonts w:asciiTheme="minorEastAsia" w:hAnsiTheme="minorEastAsia" w:eastAsiaTheme="minorEastAsia" w:cstheme="minorEastAsia"/>
          <w:color w:val="auto"/>
          <w:sz w:val="24"/>
          <w:szCs w:val="24"/>
          <w:highlight w:val="none"/>
          <w:u w:val="single"/>
        </w:rPr>
      </w:pPr>
      <w:r>
        <w:rPr>
          <w:rFonts w:hint="eastAsia" w:asciiTheme="minorEastAsia" w:hAnsiTheme="minorEastAsia" w:eastAsiaTheme="minorEastAsia" w:cstheme="minorEastAsia"/>
          <w:color w:val="auto"/>
          <w:sz w:val="24"/>
          <w:szCs w:val="24"/>
          <w:highlight w:val="none"/>
        </w:rPr>
        <w:t>住  所  地 ：</w:t>
      </w:r>
      <w:r>
        <w:rPr>
          <w:rFonts w:hint="eastAsia" w:asciiTheme="minorEastAsia" w:hAnsiTheme="minorEastAsia" w:eastAsiaTheme="minorEastAsia" w:cstheme="minorEastAsia"/>
          <w:color w:val="auto"/>
          <w:sz w:val="24"/>
          <w:szCs w:val="24"/>
          <w:highlight w:val="none"/>
          <w:u w:val="single"/>
        </w:rPr>
        <w:t xml:space="preserve">                             </w:t>
      </w:r>
    </w:p>
    <w:p>
      <w:pPr>
        <w:snapToGrid w:val="0"/>
        <w:spacing w:line="360" w:lineRule="auto"/>
        <w:rPr>
          <w:rFonts w:asciiTheme="minorEastAsia" w:hAnsiTheme="minorEastAsia" w:eastAsiaTheme="minorEastAsia" w:cstheme="minorEastAsia"/>
          <w:color w:val="auto"/>
          <w:sz w:val="24"/>
          <w:szCs w:val="24"/>
          <w:highlight w:val="none"/>
          <w:u w:val="single"/>
        </w:rPr>
      </w:pPr>
      <w:r>
        <w:rPr>
          <w:rFonts w:hint="eastAsia" w:asciiTheme="minorEastAsia" w:hAnsiTheme="minorEastAsia" w:eastAsiaTheme="minorEastAsia" w:cstheme="minorEastAsia"/>
          <w:color w:val="auto"/>
          <w:sz w:val="24"/>
          <w:szCs w:val="24"/>
          <w:highlight w:val="none"/>
        </w:rPr>
        <w:t>法定代表人 ：</w:t>
      </w:r>
      <w:r>
        <w:rPr>
          <w:rFonts w:hint="eastAsia" w:asciiTheme="minorEastAsia" w:hAnsiTheme="minorEastAsia" w:eastAsiaTheme="minorEastAsia" w:cstheme="minorEastAsia"/>
          <w:color w:val="auto"/>
          <w:sz w:val="24"/>
          <w:szCs w:val="24"/>
          <w:highlight w:val="none"/>
          <w:u w:val="single"/>
        </w:rPr>
        <w:t xml:space="preserve">                             </w:t>
      </w:r>
    </w:p>
    <w:p>
      <w:pPr>
        <w:snapToGrid w:val="0"/>
        <w:spacing w:line="360" w:lineRule="auto"/>
        <w:rPr>
          <w:rFonts w:asciiTheme="minorEastAsia" w:hAnsiTheme="minorEastAsia" w:eastAsiaTheme="minorEastAsia" w:cstheme="minorEastAsia"/>
          <w:color w:val="auto"/>
          <w:sz w:val="24"/>
          <w:szCs w:val="24"/>
          <w:highlight w:val="none"/>
          <w:u w:val="single"/>
        </w:rPr>
      </w:pPr>
      <w:r>
        <w:rPr>
          <w:rFonts w:hint="eastAsia" w:asciiTheme="minorEastAsia" w:hAnsiTheme="minorEastAsia" w:eastAsiaTheme="minorEastAsia" w:cstheme="minorEastAsia"/>
          <w:color w:val="auto"/>
          <w:sz w:val="24"/>
          <w:szCs w:val="24"/>
          <w:highlight w:val="none"/>
        </w:rPr>
        <w:t>项目联系人 ：</w:t>
      </w:r>
      <w:r>
        <w:rPr>
          <w:rFonts w:hint="eastAsia" w:asciiTheme="minorEastAsia" w:hAnsiTheme="minorEastAsia" w:eastAsiaTheme="minorEastAsia" w:cstheme="minorEastAsia"/>
          <w:color w:val="auto"/>
          <w:sz w:val="24"/>
          <w:szCs w:val="24"/>
          <w:highlight w:val="none"/>
          <w:u w:val="single"/>
        </w:rPr>
        <w:t xml:space="preserve">                             </w:t>
      </w:r>
    </w:p>
    <w:p>
      <w:pPr>
        <w:snapToGrid w:val="0"/>
        <w:spacing w:line="360" w:lineRule="auto"/>
        <w:rPr>
          <w:rFonts w:asciiTheme="minorEastAsia" w:hAnsiTheme="minorEastAsia" w:eastAsiaTheme="minorEastAsia" w:cstheme="minorEastAsia"/>
          <w:color w:val="auto"/>
          <w:sz w:val="24"/>
          <w:szCs w:val="24"/>
          <w:highlight w:val="none"/>
          <w:u w:val="single"/>
        </w:rPr>
      </w:pPr>
      <w:r>
        <w:rPr>
          <w:rFonts w:hint="eastAsia" w:asciiTheme="minorEastAsia" w:hAnsiTheme="minorEastAsia" w:eastAsiaTheme="minorEastAsia" w:cstheme="minorEastAsia"/>
          <w:color w:val="auto"/>
          <w:sz w:val="24"/>
          <w:szCs w:val="24"/>
          <w:highlight w:val="none"/>
        </w:rPr>
        <w:t>通 讯 地 址：</w:t>
      </w:r>
      <w:r>
        <w:rPr>
          <w:rFonts w:hint="eastAsia" w:asciiTheme="minorEastAsia" w:hAnsiTheme="minorEastAsia" w:eastAsiaTheme="minorEastAsia" w:cstheme="minorEastAsia"/>
          <w:color w:val="auto"/>
          <w:sz w:val="24"/>
          <w:szCs w:val="24"/>
          <w:highlight w:val="none"/>
          <w:u w:val="single"/>
        </w:rPr>
        <w:t xml:space="preserve">                            </w:t>
      </w:r>
    </w:p>
    <w:p>
      <w:pPr>
        <w:snapToGrid w:val="0"/>
        <w:spacing w:line="360" w:lineRule="auto"/>
        <w:rPr>
          <w:rFonts w:asciiTheme="minorEastAsia" w:hAnsiTheme="minorEastAsia" w:eastAsiaTheme="minorEastAsia" w:cstheme="minorEastAsia"/>
          <w:color w:val="auto"/>
          <w:sz w:val="24"/>
          <w:szCs w:val="24"/>
          <w:highlight w:val="none"/>
          <w:u w:val="single"/>
        </w:rPr>
      </w:pPr>
      <w:r>
        <w:rPr>
          <w:rFonts w:hint="eastAsia" w:asciiTheme="minorEastAsia" w:hAnsiTheme="minorEastAsia" w:eastAsiaTheme="minorEastAsia" w:cstheme="minorEastAsia"/>
          <w:color w:val="auto"/>
          <w:sz w:val="24"/>
          <w:szCs w:val="24"/>
          <w:highlight w:val="none"/>
          <w:lang w:val="en-US" w:eastAsia="zh-CN"/>
        </w:rPr>
        <w:t>邮 政 编 码</w:t>
      </w:r>
      <w:r>
        <w:rPr>
          <w:rFonts w:hint="eastAsia" w:asciiTheme="minorEastAsia" w:hAnsiTheme="minorEastAsia" w:eastAsiaTheme="minorEastAsia" w:cstheme="minorEastAsia"/>
          <w:color w:val="auto"/>
          <w:sz w:val="24"/>
          <w:szCs w:val="24"/>
          <w:highlight w:val="none"/>
        </w:rPr>
        <w:t>：</w:t>
      </w:r>
      <w:r>
        <w:rPr>
          <w:rFonts w:hint="eastAsia" w:asciiTheme="minorEastAsia" w:hAnsiTheme="minorEastAsia" w:eastAsiaTheme="minorEastAsia" w:cstheme="minorEastAsia"/>
          <w:color w:val="auto"/>
          <w:sz w:val="24"/>
          <w:szCs w:val="24"/>
          <w:highlight w:val="none"/>
          <w:u w:val="single"/>
        </w:rPr>
        <w:t xml:space="preserve">                            </w:t>
      </w:r>
    </w:p>
    <w:p>
      <w:pPr>
        <w:snapToGrid w:val="0"/>
        <w:spacing w:line="360" w:lineRule="auto"/>
        <w:rPr>
          <w:rFonts w:asciiTheme="minorEastAsia" w:hAnsiTheme="minorEastAsia" w:eastAsiaTheme="minorEastAsia" w:cstheme="minorEastAsia"/>
          <w:color w:val="auto"/>
          <w:sz w:val="24"/>
          <w:szCs w:val="24"/>
          <w:highlight w:val="none"/>
          <w:u w:val="single"/>
        </w:rPr>
      </w:pPr>
      <w:r>
        <w:rPr>
          <w:rFonts w:hint="eastAsia" w:asciiTheme="minorEastAsia" w:hAnsiTheme="minorEastAsia" w:eastAsiaTheme="minorEastAsia" w:cstheme="minorEastAsia"/>
          <w:color w:val="auto"/>
          <w:sz w:val="24"/>
          <w:szCs w:val="24"/>
          <w:highlight w:val="none"/>
        </w:rPr>
        <w:t>电       话：</w:t>
      </w:r>
      <w:r>
        <w:rPr>
          <w:rFonts w:hint="eastAsia" w:asciiTheme="minorEastAsia" w:hAnsiTheme="minorEastAsia" w:eastAsiaTheme="minorEastAsia" w:cstheme="minorEastAsia"/>
          <w:color w:val="auto"/>
          <w:sz w:val="24"/>
          <w:szCs w:val="24"/>
          <w:highlight w:val="none"/>
          <w:u w:val="single"/>
        </w:rPr>
        <w:t xml:space="preserve">                            </w:t>
      </w:r>
    </w:p>
    <w:p>
      <w:pPr>
        <w:snapToGrid w:val="0"/>
        <w:spacing w:line="360" w:lineRule="auto"/>
        <w:rPr>
          <w:rFonts w:asciiTheme="minorEastAsia" w:hAnsiTheme="minorEastAsia" w:eastAsiaTheme="minorEastAsia" w:cstheme="minorEastAsia"/>
          <w:color w:val="auto"/>
          <w:sz w:val="24"/>
          <w:szCs w:val="24"/>
          <w:highlight w:val="none"/>
          <w:u w:val="single"/>
        </w:rPr>
      </w:pPr>
      <w:r>
        <w:rPr>
          <w:rFonts w:hint="eastAsia" w:asciiTheme="minorEastAsia" w:hAnsiTheme="minorEastAsia" w:eastAsiaTheme="minorEastAsia" w:cstheme="minorEastAsia"/>
          <w:color w:val="auto"/>
          <w:sz w:val="24"/>
          <w:szCs w:val="24"/>
          <w:highlight w:val="none"/>
        </w:rPr>
        <w:t xml:space="preserve">传 </w:t>
      </w:r>
      <w:r>
        <w:rPr>
          <w:rFonts w:hint="eastAsia" w:asciiTheme="minorEastAsia" w:hAnsiTheme="minorEastAsia" w:eastAsiaTheme="minorEastAsia" w:cstheme="minorEastAsia"/>
          <w:color w:val="auto"/>
          <w:sz w:val="24"/>
          <w:szCs w:val="24"/>
          <w:highlight w:val="none"/>
          <w:lang w:val="en-US" w:eastAsia="zh-CN"/>
        </w:rPr>
        <w:t xml:space="preserve">     </w:t>
      </w:r>
      <w:r>
        <w:rPr>
          <w:rFonts w:hint="eastAsia" w:asciiTheme="minorEastAsia" w:hAnsiTheme="minorEastAsia" w:eastAsiaTheme="minorEastAsia" w:cstheme="minorEastAsia"/>
          <w:color w:val="auto"/>
          <w:sz w:val="24"/>
          <w:szCs w:val="24"/>
          <w:highlight w:val="none"/>
        </w:rPr>
        <w:t xml:space="preserve"> 真：</w:t>
      </w:r>
      <w:r>
        <w:rPr>
          <w:rFonts w:hint="eastAsia" w:asciiTheme="minorEastAsia" w:hAnsiTheme="minorEastAsia" w:eastAsiaTheme="minorEastAsia" w:cstheme="minorEastAsia"/>
          <w:color w:val="auto"/>
          <w:sz w:val="24"/>
          <w:szCs w:val="24"/>
          <w:highlight w:val="none"/>
          <w:u w:val="single"/>
        </w:rPr>
        <w:t xml:space="preserve">                            </w:t>
      </w:r>
    </w:p>
    <w:p>
      <w:pPr>
        <w:snapToGrid w:val="0"/>
        <w:spacing w:line="360" w:lineRule="auto"/>
        <w:rPr>
          <w:rFonts w:asciiTheme="minorEastAsia" w:hAnsiTheme="minorEastAsia" w:eastAsiaTheme="minorEastAsia" w:cstheme="minorEastAsia"/>
          <w:color w:val="auto"/>
          <w:sz w:val="21"/>
          <w:szCs w:val="21"/>
          <w:highlight w:val="none"/>
        </w:rPr>
      </w:pPr>
    </w:p>
    <w:p>
      <w:pPr>
        <w:spacing w:line="560" w:lineRule="exact"/>
        <w:rPr>
          <w:rFonts w:asciiTheme="minorEastAsia" w:hAnsiTheme="minorEastAsia" w:eastAsiaTheme="minorEastAsia" w:cstheme="minorEastAsia"/>
          <w:color w:val="auto"/>
          <w:sz w:val="21"/>
          <w:szCs w:val="21"/>
          <w:highlight w:val="none"/>
        </w:rPr>
      </w:pPr>
    </w:p>
    <w:p>
      <w:pPr>
        <w:spacing w:line="560" w:lineRule="exact"/>
        <w:rPr>
          <w:rFonts w:asciiTheme="minorEastAsia" w:hAnsiTheme="minorEastAsia" w:eastAsiaTheme="minorEastAsia" w:cstheme="minorEastAsia"/>
          <w:color w:val="auto"/>
          <w:sz w:val="21"/>
          <w:szCs w:val="21"/>
          <w:highlight w:val="none"/>
        </w:rPr>
      </w:pPr>
    </w:p>
    <w:p>
      <w:pPr>
        <w:widowControl/>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br w:type="page"/>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甲方委托乙方就</w:t>
      </w:r>
      <w:r>
        <w:rPr>
          <w:rFonts w:hint="eastAsia" w:asciiTheme="minorEastAsia" w:hAnsiTheme="minorEastAsia" w:eastAsiaTheme="minorEastAsia" w:cstheme="minorEastAsia"/>
          <w:b/>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进行技术服务，并支付服务费。双方经过平等协商，在真实、充分地表达各自意愿的基础上，根据《中华人民共和国民法典》的规定，达成如下协议，并由双方共同恪守。</w:t>
      </w:r>
    </w:p>
    <w:p>
      <w:pPr>
        <w:spacing w:line="360" w:lineRule="auto"/>
        <w:ind w:firstLine="422"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b/>
          <w:color w:val="auto"/>
          <w:sz w:val="21"/>
          <w:szCs w:val="21"/>
          <w:highlight w:val="none"/>
        </w:rPr>
        <w:t xml:space="preserve">第一条  </w:t>
      </w:r>
      <w:r>
        <w:rPr>
          <w:rFonts w:hint="eastAsia" w:asciiTheme="minorEastAsia" w:hAnsiTheme="minorEastAsia" w:eastAsiaTheme="minorEastAsia" w:cstheme="minorEastAsia"/>
          <w:color w:val="auto"/>
          <w:sz w:val="21"/>
          <w:szCs w:val="21"/>
          <w:highlight w:val="none"/>
        </w:rPr>
        <w:t>技术服务的内容、要求和方式。</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1.服务内容：</w:t>
      </w:r>
    </w:p>
    <w:p>
      <w:pPr>
        <w:spacing w:line="360" w:lineRule="auto"/>
        <w:ind w:firstLine="422" w:firstLineChars="200"/>
        <w:rPr>
          <w:rFonts w:asciiTheme="minorEastAsia" w:hAnsiTheme="minorEastAsia" w:eastAsiaTheme="minorEastAsia" w:cstheme="minorEastAsia"/>
          <w:b/>
          <w:bCs/>
          <w:color w:val="auto"/>
          <w:sz w:val="21"/>
          <w:szCs w:val="21"/>
          <w:highlight w:val="none"/>
          <w:u w:val="single"/>
        </w:rPr>
      </w:pPr>
      <w:r>
        <w:rPr>
          <w:rFonts w:hint="eastAsia" w:asciiTheme="minorEastAsia" w:hAnsiTheme="minorEastAsia" w:eastAsiaTheme="minorEastAsia" w:cstheme="minorEastAsia"/>
          <w:b/>
          <w:bCs/>
          <w:color w:val="auto"/>
          <w:sz w:val="21"/>
          <w:szCs w:val="21"/>
          <w:highlight w:val="none"/>
          <w:u w:val="single"/>
        </w:rPr>
        <w:t>（1）                                     ：</w:t>
      </w:r>
    </w:p>
    <w:p>
      <w:pPr>
        <w:spacing w:line="360" w:lineRule="auto"/>
        <w:ind w:firstLine="2730" w:firstLineChars="1300"/>
        <w:rPr>
          <w:rFonts w:asciiTheme="minorEastAsia" w:hAnsiTheme="minorEastAsia" w:eastAsiaTheme="minorEastAsia" w:cstheme="minorEastAsia"/>
          <w:color w:val="auto"/>
          <w:sz w:val="21"/>
          <w:szCs w:val="21"/>
          <w:highlight w:val="none"/>
          <w:u w:val="single"/>
        </w:rPr>
      </w:pPr>
    </w:p>
    <w:p>
      <w:pPr>
        <w:widowControl/>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rPr>
        <w:t>2.服务要求：按照</w:t>
      </w:r>
      <w:r>
        <w:rPr>
          <w:rFonts w:hint="eastAsia" w:asciiTheme="minorEastAsia" w:hAnsiTheme="minorEastAsia" w:eastAsiaTheme="minorEastAsia" w:cstheme="minorEastAsia"/>
          <w:color w:val="auto"/>
          <w:sz w:val="21"/>
          <w:szCs w:val="21"/>
          <w:highlight w:val="none"/>
          <w:lang w:val="en-US" w:eastAsia="zh-CN"/>
        </w:rPr>
        <w:t>现行法规、行业规范、行业标准、“百千万工程”文件相关要求及采购人需求</w:t>
      </w:r>
      <w:r>
        <w:rPr>
          <w:rFonts w:hint="eastAsia" w:asciiTheme="minorEastAsia" w:hAnsiTheme="minorEastAsia" w:eastAsiaTheme="minorEastAsia" w:cstheme="minorEastAsia"/>
          <w:color w:val="auto"/>
          <w:sz w:val="21"/>
          <w:szCs w:val="21"/>
          <w:highlight w:val="none"/>
        </w:rPr>
        <w:t>要求完成长安镇霄边社区“百千万工程”建设规划设计项目的规划设计服务，成交供应商在项目实施过程中，应无条件配合采购人完成本项目范围内的相关事宜，接受采购人安排，及时响应</w:t>
      </w:r>
      <w:r>
        <w:rPr>
          <w:rFonts w:hint="eastAsia" w:asciiTheme="minorEastAsia" w:hAnsiTheme="minorEastAsia" w:eastAsiaTheme="minorEastAsia" w:cstheme="minorEastAsia"/>
          <w:color w:val="auto"/>
          <w:sz w:val="21"/>
          <w:szCs w:val="21"/>
          <w:highlight w:val="none"/>
          <w:lang w:eastAsia="zh-CN"/>
        </w:rPr>
        <w:t>。</w:t>
      </w:r>
    </w:p>
    <w:p>
      <w:pPr>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rPr>
        <w:t>3.服务方式：</w:t>
      </w:r>
      <w:r>
        <w:rPr>
          <w:rFonts w:hint="eastAsia" w:asciiTheme="minorEastAsia" w:hAnsiTheme="minorEastAsia" w:eastAsiaTheme="minorEastAsia" w:cstheme="minorEastAsia"/>
          <w:color w:val="auto"/>
          <w:sz w:val="21"/>
          <w:szCs w:val="21"/>
          <w:highlight w:val="none"/>
          <w:u w:val="single"/>
        </w:rPr>
        <w:t xml:space="preserve"> 规划研究，具体提供技术服务成果的形式、途径及份数以甲方要求为准。</w:t>
      </w:r>
    </w:p>
    <w:p>
      <w:pPr>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rPr>
        <w:t>4.其他服务要求：</w:t>
      </w:r>
      <w:r>
        <w:rPr>
          <w:rFonts w:hint="eastAsia" w:asciiTheme="minorEastAsia" w:hAnsiTheme="minorEastAsia" w:eastAsiaTheme="minorEastAsia" w:cstheme="minorEastAsia"/>
          <w:color w:val="auto"/>
          <w:sz w:val="21"/>
          <w:szCs w:val="21"/>
          <w:highlight w:val="none"/>
          <w:u w:val="single"/>
        </w:rPr>
        <w:t>乙方保证乙方及其工作人员具备相关证件及资质要求，并确保前述证件及资质在本合同履行过程中保持有效。乙方确保向甲方提供相关资料是客观、合法、有效、全面、准确的，不存在任何伪造、虚假或隐瞒等情形。</w:t>
      </w:r>
    </w:p>
    <w:p>
      <w:pPr>
        <w:spacing w:line="360" w:lineRule="auto"/>
        <w:ind w:firstLine="422"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b/>
          <w:color w:val="auto"/>
          <w:sz w:val="21"/>
          <w:szCs w:val="21"/>
          <w:highlight w:val="none"/>
        </w:rPr>
        <w:t xml:space="preserve">第二条  </w:t>
      </w:r>
      <w:r>
        <w:rPr>
          <w:rFonts w:hint="eastAsia" w:asciiTheme="minorEastAsia" w:hAnsiTheme="minorEastAsia" w:eastAsiaTheme="minorEastAsia" w:cstheme="minorEastAsia"/>
          <w:color w:val="auto"/>
          <w:sz w:val="21"/>
          <w:szCs w:val="21"/>
          <w:highlight w:val="none"/>
        </w:rPr>
        <w:t>乙方应当按照下列进度要求进行本合同项目的技术服务工作：</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本项目服务期限为</w:t>
      </w:r>
      <w:r>
        <w:rPr>
          <w:rFonts w:hint="eastAsia" w:asciiTheme="minorEastAsia" w:hAnsiTheme="minorEastAsia" w:eastAsiaTheme="minorEastAsia" w:cstheme="minorEastAsia"/>
          <w:color w:val="auto"/>
          <w:sz w:val="21"/>
          <w:szCs w:val="21"/>
          <w:highlight w:val="none"/>
          <w:u w:val="single"/>
        </w:rPr>
        <w:t>12个月</w:t>
      </w:r>
      <w:r>
        <w:rPr>
          <w:rFonts w:hint="eastAsia" w:asciiTheme="minorEastAsia" w:hAnsiTheme="minorEastAsia" w:eastAsiaTheme="minorEastAsia" w:cstheme="minorEastAsia"/>
          <w:color w:val="auto"/>
          <w:sz w:val="21"/>
          <w:szCs w:val="21"/>
          <w:highlight w:val="none"/>
        </w:rPr>
        <w:t>（自合同签订之日起算）。</w:t>
      </w:r>
    </w:p>
    <w:p>
      <w:pPr>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u w:val="single"/>
        </w:rPr>
        <w:t>若甲方未能及时提供相关资料、怠于提出修改意见、未能按时支付费用或遇不可抗力因素（（指甲方或乙方不能预见、或不能采取措施避免并不能克服的自然灾害或社会政治因素等）等，经甲方同意后乙方的工作时间可适当顺延。</w:t>
      </w:r>
    </w:p>
    <w:p>
      <w:pPr>
        <w:spacing w:line="360" w:lineRule="auto"/>
        <w:ind w:firstLine="422"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b/>
          <w:color w:val="auto"/>
          <w:sz w:val="21"/>
          <w:szCs w:val="21"/>
          <w:highlight w:val="none"/>
        </w:rPr>
        <w:t xml:space="preserve">第三条  </w:t>
      </w:r>
      <w:r>
        <w:rPr>
          <w:rFonts w:hint="eastAsia" w:asciiTheme="minorEastAsia" w:hAnsiTheme="minorEastAsia" w:eastAsiaTheme="minorEastAsia" w:cstheme="minorEastAsia"/>
          <w:color w:val="auto"/>
          <w:sz w:val="21"/>
          <w:szCs w:val="21"/>
          <w:highlight w:val="none"/>
        </w:rPr>
        <w:t>为保证乙方有效进行技术服务工作，甲方应当向乙方提供下列协作事项：</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1.技术资料。</w:t>
      </w:r>
    </w:p>
    <w:p>
      <w:pPr>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u w:val="single"/>
        </w:rPr>
        <w:t xml:space="preserve">（1）规划范围地形图（1:500或1:1000）      </w:t>
      </w:r>
    </w:p>
    <w:p>
      <w:pPr>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u w:val="single"/>
        </w:rPr>
        <w:t>（2）其他涉及相关部门应提供的资料。</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2.工作条件。</w:t>
      </w:r>
    </w:p>
    <w:p>
      <w:pPr>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u w:val="single"/>
        </w:rPr>
        <w:t>（1）协助收集编制该项目所需的基础资料，并对所提供资料的可靠性负责。</w:t>
      </w:r>
    </w:p>
    <w:p>
      <w:pPr>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u w:val="single"/>
        </w:rPr>
        <w:t>（2）协助该项目的技术论证及组织工作，并向乙方提供书面意见。</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 xml:space="preserve">3. </w:t>
      </w:r>
      <w:r>
        <w:rPr>
          <w:rFonts w:hint="eastAsia" w:asciiTheme="minorEastAsia" w:hAnsiTheme="minorEastAsia" w:eastAsiaTheme="minorEastAsia" w:cstheme="minorEastAsia"/>
          <w:color w:val="auto"/>
          <w:sz w:val="21"/>
          <w:szCs w:val="21"/>
          <w:highlight w:val="none"/>
          <w:u w:val="single"/>
        </w:rPr>
        <w:t>及时确认乙方各阶段工作进度，收到乙方各阶段成果后，于3个工作日内完成审核。</w:t>
      </w:r>
    </w:p>
    <w:p>
      <w:pPr>
        <w:spacing w:line="360" w:lineRule="auto"/>
        <w:ind w:firstLine="422"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b/>
          <w:color w:val="auto"/>
          <w:sz w:val="21"/>
          <w:szCs w:val="21"/>
          <w:highlight w:val="none"/>
        </w:rPr>
        <w:t xml:space="preserve">第四条  </w:t>
      </w:r>
      <w:r>
        <w:rPr>
          <w:rFonts w:hint="eastAsia" w:asciiTheme="minorEastAsia" w:hAnsiTheme="minorEastAsia" w:eastAsiaTheme="minorEastAsia" w:cstheme="minorEastAsia"/>
          <w:color w:val="auto"/>
          <w:sz w:val="21"/>
          <w:szCs w:val="21"/>
          <w:highlight w:val="none"/>
        </w:rPr>
        <w:t>甲方向乙方支付技术服务费及支付方式为：</w:t>
      </w:r>
    </w:p>
    <w:p>
      <w:pPr>
        <w:tabs>
          <w:tab w:val="left" w:pos="720"/>
        </w:tabs>
        <w:snapToGrid w:val="0"/>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1.技术服务费（含税）总额为:大写</w:t>
      </w:r>
      <w:r>
        <w:rPr>
          <w:rFonts w:hint="eastAsia" w:asciiTheme="minorEastAsia" w:hAnsiTheme="minorEastAsia" w:eastAsiaTheme="minorEastAsia" w:cstheme="minorEastAsia"/>
          <w:color w:val="auto"/>
          <w:sz w:val="21"/>
          <w:szCs w:val="21"/>
          <w:highlight w:val="none"/>
          <w:u w:val="single"/>
        </w:rPr>
        <w:t>人民币    万元整(小写¥     元)。</w:t>
      </w:r>
      <w:r>
        <w:rPr>
          <w:rFonts w:hint="eastAsia" w:asciiTheme="minorEastAsia" w:hAnsiTheme="minorEastAsia" w:eastAsiaTheme="minorEastAsia" w:cstheme="minorEastAsia"/>
          <w:bCs/>
          <w:color w:val="auto"/>
          <w:sz w:val="21"/>
          <w:szCs w:val="21"/>
          <w:highlight w:val="none"/>
        </w:rPr>
        <w:t>本合同技术服务费用包括但不限于成本费、劳务费、制作费、协调统筹费、税费等全部费用。除本合同另有约定外，甲方不再支付乙方其他任何费用。</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2.技术服务费由甲方</w:t>
      </w:r>
      <w:r>
        <w:rPr>
          <w:rFonts w:hint="eastAsia" w:asciiTheme="minorEastAsia" w:hAnsiTheme="minorEastAsia" w:eastAsiaTheme="minorEastAsia" w:cstheme="minorEastAsia"/>
          <w:b/>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u w:val="single"/>
        </w:rPr>
        <w:t xml:space="preserve">分XXX </w:t>
      </w:r>
      <w:r>
        <w:rPr>
          <w:rFonts w:hint="eastAsia" w:asciiTheme="minorEastAsia" w:hAnsiTheme="minorEastAsia" w:eastAsiaTheme="minorEastAsia" w:cstheme="minorEastAsia"/>
          <w:color w:val="auto"/>
          <w:sz w:val="21"/>
          <w:szCs w:val="21"/>
          <w:highlight w:val="none"/>
        </w:rPr>
        <w:t>支付给乙方。具体支付方式和时间如下：</w:t>
      </w:r>
    </w:p>
    <w:p>
      <w:pPr>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u w:val="single"/>
        </w:rPr>
        <w:t>第一期：合同生效后七日内，甲方支付合同总价的30%。</w:t>
      </w:r>
    </w:p>
    <w:p>
      <w:pPr>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u w:val="single"/>
        </w:rPr>
        <w:t>第二期：项目提交初步成果并经甲方审核同意后七日内，甲方支付合同总价的20%。</w:t>
      </w:r>
    </w:p>
    <w:p>
      <w:pPr>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u w:val="single"/>
        </w:rPr>
        <w:t>第三期：项目提交中期成果并经甲方审核同意后七日内，甲方支付合同总价的40%；</w:t>
      </w:r>
    </w:p>
    <w:p>
      <w:pPr>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u w:val="single"/>
        </w:rPr>
        <w:t>第四期：项目提交最终成果并经甲方及东莞市“百千万工程”指挥部审核同意后七日内，甲方支付合同总价的10%。</w:t>
      </w:r>
    </w:p>
    <w:p>
      <w:pPr>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u w:val="single"/>
        </w:rPr>
        <w:t>备注：乙方每次收款前向采购方开具等额的正式发票。收款方出具的发票、合同，均必须与中标方名称一致。甲方收到发票后，在七日内支付对应的费用。</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（4）乙方开户银行名称、地址和账号为：</w:t>
      </w:r>
    </w:p>
    <w:p>
      <w:pPr>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rPr>
        <w:t>开 户 名：</w:t>
      </w:r>
      <w:r>
        <w:rPr>
          <w:rFonts w:hint="eastAsia" w:asciiTheme="minorEastAsia" w:hAnsiTheme="minorEastAsia" w:eastAsiaTheme="minorEastAsia" w:cstheme="minorEastAsia"/>
          <w:color w:val="auto"/>
          <w:sz w:val="21"/>
          <w:szCs w:val="21"/>
          <w:highlight w:val="none"/>
          <w:u w:val="single"/>
        </w:rPr>
        <w:t xml:space="preserve">                                </w:t>
      </w:r>
    </w:p>
    <w:p>
      <w:pPr>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rPr>
        <w:t>开户银行：</w:t>
      </w:r>
      <w:r>
        <w:rPr>
          <w:rFonts w:hint="eastAsia" w:asciiTheme="minorEastAsia" w:hAnsiTheme="minorEastAsia" w:eastAsiaTheme="minorEastAsia" w:cstheme="minorEastAsia"/>
          <w:color w:val="auto"/>
          <w:sz w:val="21"/>
          <w:szCs w:val="21"/>
          <w:highlight w:val="none"/>
          <w:u w:val="single"/>
        </w:rPr>
        <w:t xml:space="preserve">                                </w:t>
      </w:r>
    </w:p>
    <w:p>
      <w:pPr>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rPr>
        <w:t>地    址：</w:t>
      </w:r>
      <w:r>
        <w:rPr>
          <w:rFonts w:hint="eastAsia" w:asciiTheme="minorEastAsia" w:hAnsiTheme="minorEastAsia" w:eastAsiaTheme="minorEastAsia" w:cstheme="minorEastAsia"/>
          <w:color w:val="auto"/>
          <w:sz w:val="21"/>
          <w:szCs w:val="21"/>
          <w:highlight w:val="none"/>
          <w:u w:val="single"/>
        </w:rPr>
        <w:t xml:space="preserve">                                </w:t>
      </w:r>
    </w:p>
    <w:p>
      <w:pPr>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rPr>
        <w:t>账    号：</w:t>
      </w:r>
      <w:r>
        <w:rPr>
          <w:rFonts w:hint="eastAsia" w:asciiTheme="minorEastAsia" w:hAnsiTheme="minorEastAsia" w:eastAsiaTheme="minorEastAsia" w:cstheme="minorEastAsia"/>
          <w:color w:val="auto"/>
          <w:sz w:val="21"/>
          <w:szCs w:val="21"/>
          <w:highlight w:val="none"/>
          <w:u w:val="single"/>
        </w:rPr>
        <w:t xml:space="preserve">                                </w:t>
      </w:r>
    </w:p>
    <w:p>
      <w:pPr>
        <w:snapToGrid w:val="0"/>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5）甲方在收到乙方等额、合法、有效的发票后按上述约定支付相关费用，若因乙方逾期提供上述发票的，甲方有权延期付款，由此造成的损失均由乙方自行承担，乙方不得以此为由追究甲方的逾期付款的责任。若甲方向其所属的财政部门办理相关请款手续后，因财政审批迟延造成甲方逾期付款的，乙方不得以此为由追究甲方逾期付款违约金责任。</w:t>
      </w:r>
    </w:p>
    <w:p>
      <w:pPr>
        <w:tabs>
          <w:tab w:val="left" w:pos="1560"/>
        </w:tabs>
        <w:spacing w:line="360" w:lineRule="auto"/>
        <w:ind w:firstLine="422"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b/>
          <w:color w:val="auto"/>
          <w:sz w:val="21"/>
          <w:szCs w:val="21"/>
          <w:highlight w:val="none"/>
        </w:rPr>
        <w:t xml:space="preserve">第五条  </w:t>
      </w:r>
      <w:r>
        <w:rPr>
          <w:rFonts w:hint="eastAsia" w:asciiTheme="minorEastAsia" w:hAnsiTheme="minorEastAsia" w:eastAsiaTheme="minorEastAsia" w:cstheme="minorEastAsia"/>
          <w:color w:val="auto"/>
          <w:sz w:val="21"/>
          <w:szCs w:val="21"/>
          <w:highlight w:val="none"/>
        </w:rPr>
        <w:t>双方责任。</w:t>
      </w:r>
    </w:p>
    <w:p>
      <w:pPr>
        <w:snapToGrid w:val="0"/>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1.甲方责任。</w:t>
      </w:r>
    </w:p>
    <w:p>
      <w:pPr>
        <w:widowControl/>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u w:val="single"/>
        </w:rPr>
        <w:t>（1）甲方应指派专人负责联系和协调本合同履行的全过程，如合同履行期间更换相应人员需提前三个工作日书面告知乙方。</w:t>
      </w:r>
      <w:r>
        <w:rPr>
          <w:rFonts w:hint="eastAsia" w:asciiTheme="minorEastAsia" w:hAnsiTheme="minorEastAsia" w:eastAsiaTheme="minorEastAsia" w:cstheme="minorEastAsia"/>
          <w:color w:val="auto"/>
          <w:sz w:val="21"/>
          <w:szCs w:val="21"/>
          <w:highlight w:val="none"/>
        </w:rPr>
        <w:t xml:space="preserve"> </w:t>
      </w:r>
    </w:p>
    <w:p>
      <w:pPr>
        <w:widowControl/>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u w:val="single"/>
        </w:rPr>
        <w:t xml:space="preserve">（2）甲方应及时向乙方提供或协助提供规划所需基础资料，并对其完整性、准确性、合法性及时效性负责。 </w:t>
      </w:r>
    </w:p>
    <w:p>
      <w:pPr>
        <w:widowControl/>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u w:val="single"/>
        </w:rPr>
        <w:t>（3）甲方应协助乙方进行甲方认为必要的现状调研和相关资料收集、组织相关单位的座谈会。</w:t>
      </w:r>
    </w:p>
    <w:p>
      <w:pPr>
        <w:widowControl/>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u w:val="single"/>
        </w:rPr>
        <w:t>（4）乙方提交技术服务成果后，甲方如有修改意见，应当在收到乙方提交的成果后及时提出修改意见。</w:t>
      </w:r>
    </w:p>
    <w:p>
      <w:pPr>
        <w:snapToGrid w:val="0"/>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2.乙方责任。</w:t>
      </w:r>
    </w:p>
    <w:p>
      <w:pPr>
        <w:widowControl/>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u w:val="single"/>
        </w:rPr>
        <w:t>（1）乙方应严格遵照国家及地方相关法律、法规、规范、标准</w:t>
      </w:r>
      <w:r>
        <w:rPr>
          <w:rFonts w:hint="eastAsia" w:asciiTheme="minorEastAsia" w:hAnsiTheme="minorEastAsia" w:eastAsiaTheme="minorEastAsia" w:cstheme="minorEastAsia"/>
          <w:color w:val="auto"/>
          <w:sz w:val="21"/>
          <w:szCs w:val="21"/>
          <w:highlight w:val="none"/>
          <w:u w:val="single"/>
          <w:lang w:eastAsia="zh-CN"/>
        </w:rPr>
        <w:t>、“</w:t>
      </w:r>
      <w:r>
        <w:rPr>
          <w:rFonts w:hint="eastAsia" w:asciiTheme="minorEastAsia" w:hAnsiTheme="minorEastAsia" w:eastAsiaTheme="minorEastAsia" w:cstheme="minorEastAsia"/>
          <w:color w:val="auto"/>
          <w:sz w:val="21"/>
          <w:szCs w:val="21"/>
          <w:highlight w:val="none"/>
          <w:u w:val="single"/>
          <w:lang w:val="en-US" w:eastAsia="zh-CN"/>
        </w:rPr>
        <w:t>百千万工程”相关要求</w:t>
      </w:r>
      <w:r>
        <w:rPr>
          <w:rFonts w:hint="eastAsia" w:asciiTheme="minorEastAsia" w:hAnsiTheme="minorEastAsia" w:eastAsiaTheme="minorEastAsia" w:cstheme="minorEastAsia"/>
          <w:color w:val="auto"/>
          <w:sz w:val="21"/>
          <w:szCs w:val="21"/>
          <w:highlight w:val="none"/>
          <w:u w:val="single"/>
        </w:rPr>
        <w:t xml:space="preserve">和技术规定的深度要求以及本合同约定的内容、事项要求向甲方提交成果和规划技术服务。 </w:t>
      </w:r>
    </w:p>
    <w:p>
      <w:pPr>
        <w:spacing w:line="360" w:lineRule="auto"/>
        <w:ind w:firstLine="420" w:firstLineChars="200"/>
        <w:rPr>
          <w:rFonts w:hint="eastAsia"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u w:val="single"/>
        </w:rPr>
        <w:t>（2）乙方应配合甲方完成项目各阶段成果的汇报、审查、研讨、公示等工作，并负责解答相应的技术问题。</w:t>
      </w:r>
    </w:p>
    <w:p>
      <w:pPr>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u w:val="single"/>
        </w:rPr>
        <w:t>（</w:t>
      </w:r>
      <w:r>
        <w:rPr>
          <w:rFonts w:hint="eastAsia" w:asciiTheme="minorEastAsia" w:hAnsiTheme="minorEastAsia" w:eastAsiaTheme="minorEastAsia" w:cstheme="minorEastAsia"/>
          <w:color w:val="auto"/>
          <w:sz w:val="21"/>
          <w:szCs w:val="21"/>
          <w:highlight w:val="none"/>
          <w:u w:val="single"/>
          <w:lang w:val="en-US" w:eastAsia="zh-CN"/>
        </w:rPr>
        <w:t>3</w:t>
      </w:r>
      <w:r>
        <w:rPr>
          <w:rFonts w:hint="eastAsia" w:asciiTheme="minorEastAsia" w:hAnsiTheme="minorEastAsia" w:eastAsiaTheme="minorEastAsia" w:cstheme="minorEastAsia"/>
          <w:color w:val="auto"/>
          <w:sz w:val="21"/>
          <w:szCs w:val="21"/>
          <w:highlight w:val="none"/>
          <w:u w:val="single"/>
        </w:rPr>
        <w:t>）在服务周期内，百千万工程如有新的政策需要对规划内容进行修编，</w:t>
      </w:r>
      <w:r>
        <w:rPr>
          <w:rFonts w:hint="eastAsia" w:asciiTheme="minorEastAsia" w:hAnsiTheme="minorEastAsia" w:eastAsiaTheme="minorEastAsia" w:cstheme="minorEastAsia"/>
          <w:color w:val="auto"/>
          <w:sz w:val="21"/>
          <w:szCs w:val="21"/>
          <w:highlight w:val="none"/>
          <w:u w:val="single"/>
          <w:lang w:val="en-US" w:eastAsia="zh-CN"/>
        </w:rPr>
        <w:t>乙方</w:t>
      </w:r>
      <w:r>
        <w:rPr>
          <w:rFonts w:hint="eastAsia" w:asciiTheme="minorEastAsia" w:hAnsiTheme="minorEastAsia" w:eastAsiaTheme="minorEastAsia" w:cstheme="minorEastAsia"/>
          <w:color w:val="auto"/>
          <w:sz w:val="21"/>
          <w:szCs w:val="21"/>
          <w:highlight w:val="none"/>
          <w:u w:val="single"/>
        </w:rPr>
        <w:t>须配合</w:t>
      </w:r>
      <w:r>
        <w:rPr>
          <w:rFonts w:hint="eastAsia" w:asciiTheme="minorEastAsia" w:hAnsiTheme="minorEastAsia" w:eastAsiaTheme="minorEastAsia" w:cstheme="minorEastAsia"/>
          <w:color w:val="auto"/>
          <w:sz w:val="21"/>
          <w:szCs w:val="21"/>
          <w:highlight w:val="none"/>
          <w:u w:val="single"/>
          <w:lang w:val="en-US" w:eastAsia="zh-CN"/>
        </w:rPr>
        <w:t>甲方</w:t>
      </w:r>
      <w:r>
        <w:rPr>
          <w:rFonts w:hint="eastAsia" w:asciiTheme="minorEastAsia" w:hAnsiTheme="minorEastAsia" w:eastAsiaTheme="minorEastAsia" w:cstheme="minorEastAsia"/>
          <w:color w:val="auto"/>
          <w:sz w:val="21"/>
          <w:szCs w:val="21"/>
          <w:highlight w:val="none"/>
          <w:u w:val="single"/>
        </w:rPr>
        <w:t xml:space="preserve">作出相应修编和完善相关资料等。 </w:t>
      </w:r>
    </w:p>
    <w:p>
      <w:pPr>
        <w:spacing w:line="360" w:lineRule="auto"/>
        <w:ind w:firstLine="422"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b/>
          <w:color w:val="auto"/>
          <w:sz w:val="21"/>
          <w:szCs w:val="21"/>
          <w:highlight w:val="none"/>
        </w:rPr>
        <w:t xml:space="preserve">第六条  </w:t>
      </w:r>
      <w:r>
        <w:rPr>
          <w:rFonts w:hint="eastAsia" w:asciiTheme="minorEastAsia" w:hAnsiTheme="minorEastAsia" w:eastAsiaTheme="minorEastAsia" w:cstheme="minorEastAsia"/>
          <w:color w:val="auto"/>
          <w:sz w:val="21"/>
          <w:szCs w:val="21"/>
          <w:highlight w:val="none"/>
        </w:rPr>
        <w:t>因履行本合同应遵守的保密义务。</w:t>
      </w:r>
    </w:p>
    <w:p>
      <w:pPr>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rPr>
        <w:t>1.保密内容(包括技术信息和经营信息)：</w:t>
      </w:r>
      <w:r>
        <w:rPr>
          <w:rFonts w:hint="eastAsia" w:asciiTheme="minorEastAsia" w:hAnsiTheme="minorEastAsia" w:eastAsiaTheme="minorEastAsia" w:cstheme="minorEastAsia"/>
          <w:color w:val="auto"/>
          <w:sz w:val="21"/>
          <w:szCs w:val="21"/>
          <w:highlight w:val="none"/>
          <w:u w:val="single"/>
        </w:rPr>
        <w:t>承担本项目的规划研究成果和双方往来的所有相关资料的保密义务，</w:t>
      </w:r>
      <w:r>
        <w:rPr>
          <w:rFonts w:hint="eastAsia" w:asciiTheme="minorEastAsia" w:hAnsiTheme="minorEastAsia" w:eastAsiaTheme="minorEastAsia" w:cstheme="minorEastAsia"/>
          <w:color w:val="auto"/>
          <w:sz w:val="21"/>
          <w:szCs w:val="21"/>
          <w:highlight w:val="none"/>
        </w:rPr>
        <w:t>未经甲方书面同意不得向任何第三人泄露，</w:t>
      </w:r>
      <w:r>
        <w:rPr>
          <w:rFonts w:hint="eastAsia" w:asciiTheme="minorEastAsia" w:hAnsiTheme="minorEastAsia" w:eastAsiaTheme="minorEastAsia" w:cstheme="minorEastAsia"/>
          <w:color w:val="auto"/>
          <w:sz w:val="21"/>
          <w:szCs w:val="21"/>
          <w:highlight w:val="none"/>
          <w:u w:val="single"/>
        </w:rPr>
        <w:t>不得在本合同使用目的之外以任何方式公开、转让或挪用给第三方，</w:t>
      </w:r>
      <w:r>
        <w:rPr>
          <w:rFonts w:hint="eastAsia" w:asciiTheme="minorEastAsia" w:hAnsiTheme="minorEastAsia" w:eastAsiaTheme="minorEastAsia" w:cstheme="minorEastAsia"/>
          <w:color w:val="auto"/>
          <w:sz w:val="21"/>
          <w:szCs w:val="21"/>
          <w:highlight w:val="none"/>
        </w:rPr>
        <w:t>且保密责任不因合同的终止或解除而失效。</w:t>
      </w:r>
    </w:p>
    <w:p>
      <w:pPr>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rPr>
        <w:t>2.涉密人员范围：</w:t>
      </w:r>
      <w:r>
        <w:rPr>
          <w:rFonts w:hint="eastAsia" w:asciiTheme="minorEastAsia" w:hAnsiTheme="minorEastAsia" w:eastAsiaTheme="minorEastAsia" w:cstheme="minorEastAsia"/>
          <w:color w:val="auto"/>
          <w:sz w:val="21"/>
          <w:szCs w:val="21"/>
          <w:highlight w:val="none"/>
          <w:u w:val="single"/>
        </w:rPr>
        <w:t>直接或间接参与本项目的有关人员。</w:t>
      </w:r>
    </w:p>
    <w:p>
      <w:pPr>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rPr>
        <w:t>3.保密期限：本</w:t>
      </w:r>
      <w:r>
        <w:rPr>
          <w:rFonts w:hint="eastAsia" w:asciiTheme="minorEastAsia" w:hAnsiTheme="minorEastAsia" w:eastAsiaTheme="minorEastAsia" w:cstheme="minorEastAsia"/>
          <w:color w:val="auto"/>
          <w:sz w:val="21"/>
          <w:szCs w:val="21"/>
          <w:highlight w:val="none"/>
          <w:u w:val="single"/>
        </w:rPr>
        <w:t>合同生效之日起至合同履行完毕止。</w:t>
      </w:r>
    </w:p>
    <w:p>
      <w:pPr>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rPr>
        <w:t>4.泄密责任：如乙方违反合同约定泄密，甲方有权解除合同，由此导致的损失（包括但不限于律师费、诉讼费、担保费、保全费、鉴定费等费用）均由乙方承担。</w:t>
      </w:r>
    </w:p>
    <w:p>
      <w:pPr>
        <w:spacing w:line="360" w:lineRule="auto"/>
        <w:ind w:firstLine="422"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b/>
          <w:color w:val="auto"/>
          <w:sz w:val="21"/>
          <w:szCs w:val="21"/>
          <w:highlight w:val="none"/>
        </w:rPr>
        <w:t xml:space="preserve">第七条  </w:t>
      </w:r>
      <w:r>
        <w:rPr>
          <w:rFonts w:hint="eastAsia" w:asciiTheme="minorEastAsia" w:hAnsiTheme="minorEastAsia" w:eastAsiaTheme="minorEastAsia" w:cstheme="minorEastAsia"/>
          <w:color w:val="auto"/>
          <w:sz w:val="21"/>
          <w:szCs w:val="21"/>
          <w:highlight w:val="none"/>
        </w:rPr>
        <w:t>本合同的变更必须由双方协商一致，并以书面形式确定。但有下列情形之—的，乙方可以向甲方提出变更合同权利与义务的请求，并由双方协商另行增加技术服务费用，甲方应当在</w:t>
      </w:r>
      <w:r>
        <w:rPr>
          <w:rFonts w:hint="eastAsia" w:asciiTheme="minorEastAsia" w:hAnsiTheme="minorEastAsia" w:eastAsiaTheme="minorEastAsia" w:cstheme="minorEastAsia"/>
          <w:b/>
          <w:color w:val="auto"/>
          <w:sz w:val="21"/>
          <w:szCs w:val="21"/>
          <w:highlight w:val="none"/>
          <w:u w:val="single"/>
        </w:rPr>
        <w:t xml:space="preserve"> 七 </w:t>
      </w:r>
      <w:r>
        <w:rPr>
          <w:rFonts w:hint="eastAsia" w:asciiTheme="minorEastAsia" w:hAnsiTheme="minorEastAsia" w:eastAsiaTheme="minorEastAsia" w:cstheme="minorEastAsia"/>
          <w:color w:val="auto"/>
          <w:sz w:val="21"/>
          <w:szCs w:val="21"/>
          <w:highlight w:val="none"/>
        </w:rPr>
        <w:t>日内予以答复；逾期未予答复的，视为同意：</w:t>
      </w:r>
    </w:p>
    <w:p>
      <w:pPr>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u w:val="single"/>
        </w:rPr>
        <w:t>1.因甲方原因引起的重大修改或重做。</w:t>
      </w:r>
    </w:p>
    <w:p>
      <w:pPr>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u w:val="single"/>
        </w:rPr>
        <w:t>2.规划范围发生变化或甲方要求做合同以外的工作内容。</w:t>
      </w:r>
    </w:p>
    <w:p>
      <w:pPr>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rPr>
        <w:t>3.</w:t>
      </w:r>
      <w:r>
        <w:rPr>
          <w:rFonts w:hint="eastAsia" w:asciiTheme="minorEastAsia" w:hAnsiTheme="minorEastAsia" w:eastAsiaTheme="minorEastAsia" w:cstheme="minorEastAsia"/>
          <w:color w:val="auto"/>
          <w:sz w:val="21"/>
          <w:szCs w:val="21"/>
          <w:highlight w:val="none"/>
          <w:u w:val="single"/>
        </w:rPr>
        <w:t>因规划编制指引或政策调整等不可预测因素产生的费用。</w:t>
      </w:r>
    </w:p>
    <w:p>
      <w:pPr>
        <w:spacing w:line="360" w:lineRule="auto"/>
        <w:ind w:firstLine="422"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b/>
          <w:color w:val="auto"/>
          <w:sz w:val="21"/>
          <w:szCs w:val="21"/>
          <w:highlight w:val="none"/>
        </w:rPr>
        <w:t xml:space="preserve">第八条  </w:t>
      </w:r>
      <w:r>
        <w:rPr>
          <w:rFonts w:hint="eastAsia" w:asciiTheme="minorEastAsia" w:hAnsiTheme="minorEastAsia" w:eastAsiaTheme="minorEastAsia" w:cstheme="minorEastAsia"/>
          <w:color w:val="auto"/>
          <w:sz w:val="21"/>
          <w:szCs w:val="21"/>
          <w:highlight w:val="none"/>
        </w:rPr>
        <w:t>双方确定，按以下标准和方式对乙方提交的技术服务工作成果进行验收：</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1.乙方提交技术成果的形式:</w:t>
      </w:r>
      <w:r>
        <w:rPr>
          <w:rFonts w:hint="eastAsia" w:asciiTheme="minorEastAsia" w:hAnsiTheme="minorEastAsia" w:eastAsiaTheme="minorEastAsia" w:cstheme="minorEastAsia"/>
          <w:color w:val="auto"/>
          <w:sz w:val="21"/>
          <w:szCs w:val="21"/>
          <w:highlight w:val="none"/>
          <w:u w:val="single"/>
        </w:rPr>
        <w:t xml:space="preserve">    。 </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2.技术成果的验收标准:</w:t>
      </w:r>
      <w:r>
        <w:rPr>
          <w:rFonts w:hint="eastAsia" w:hAnsi="宋体" w:cs="宋体" w:eastAsiaTheme="minorEastAsia"/>
          <w:color w:val="auto"/>
          <w:sz w:val="21"/>
          <w:szCs w:val="21"/>
          <w:highlight w:val="none"/>
          <w:lang w:val="en-US" w:eastAsia="zh-CN"/>
        </w:rPr>
        <w:t>按照</w:t>
      </w:r>
      <w:r>
        <w:rPr>
          <w:rFonts w:hint="eastAsia" w:hAnsi="宋体" w:cs="宋体"/>
          <w:color w:val="auto"/>
          <w:sz w:val="21"/>
          <w:szCs w:val="21"/>
          <w:highlight w:val="none"/>
        </w:rPr>
        <w:t>国家相关法律法规及行业现行规范、标准</w:t>
      </w:r>
      <w:r>
        <w:rPr>
          <w:rFonts w:hint="eastAsia" w:hAnsi="宋体" w:cs="宋体"/>
          <w:color w:val="auto"/>
          <w:sz w:val="21"/>
          <w:szCs w:val="21"/>
          <w:highlight w:val="none"/>
          <w:lang w:val="en-US" w:eastAsia="zh-CN"/>
        </w:rPr>
        <w:t>以及“百千万工程”相关要求</w:t>
      </w:r>
      <w:r>
        <w:rPr>
          <w:rFonts w:hint="eastAsia" w:hAnsi="宋体" w:cs="宋体"/>
          <w:color w:val="auto"/>
          <w:sz w:val="21"/>
          <w:szCs w:val="21"/>
          <w:highlight w:val="none"/>
        </w:rPr>
        <w:t>等，按照</w:t>
      </w:r>
      <w:r>
        <w:rPr>
          <w:rFonts w:hint="eastAsia" w:hAnsi="宋体" w:cs="宋体"/>
          <w:color w:val="auto"/>
          <w:sz w:val="21"/>
          <w:szCs w:val="21"/>
          <w:highlight w:val="none"/>
          <w:lang w:val="en-US" w:eastAsia="zh-CN"/>
        </w:rPr>
        <w:t>乙方</w:t>
      </w:r>
      <w:r>
        <w:rPr>
          <w:rFonts w:hint="eastAsia" w:hAnsi="宋体" w:cs="宋体"/>
          <w:color w:val="auto"/>
          <w:sz w:val="21"/>
          <w:szCs w:val="21"/>
          <w:highlight w:val="none"/>
        </w:rPr>
        <w:t>投标文件的承诺。</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3.技术成果的验收方法：</w:t>
      </w:r>
      <w:r>
        <w:rPr>
          <w:rFonts w:hint="eastAsia" w:asciiTheme="minorEastAsia" w:hAnsiTheme="minorEastAsia" w:eastAsiaTheme="minorEastAsia" w:cstheme="minorEastAsia"/>
          <w:color w:val="auto"/>
          <w:sz w:val="21"/>
          <w:szCs w:val="21"/>
          <w:highlight w:val="none"/>
          <w:u w:val="single"/>
        </w:rPr>
        <w:t>项目规划方案成果须符合国家、省、市国土空间规划相关法律法规和规范性文件要求,并经甲方审议通过。</w:t>
      </w:r>
    </w:p>
    <w:p>
      <w:pPr>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rPr>
        <w:t>4.乙方提交技术成果的数量：</w:t>
      </w:r>
      <w:r>
        <w:rPr>
          <w:rFonts w:hint="eastAsia" w:asciiTheme="minorEastAsia" w:hAnsiTheme="minorEastAsia" w:eastAsiaTheme="minorEastAsia" w:cstheme="minorEastAsia"/>
          <w:color w:val="auto"/>
          <w:sz w:val="21"/>
          <w:szCs w:val="21"/>
          <w:highlight w:val="none"/>
          <w:u w:val="single"/>
        </w:rPr>
        <w:t xml:space="preserve">  规划研究报告6套及电子文件2套。   </w:t>
      </w:r>
    </w:p>
    <w:p>
      <w:pPr>
        <w:spacing w:line="360" w:lineRule="auto"/>
        <w:ind w:firstLine="422"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b/>
          <w:color w:val="auto"/>
          <w:sz w:val="21"/>
          <w:szCs w:val="21"/>
          <w:highlight w:val="none"/>
        </w:rPr>
        <w:t xml:space="preserve">第九条  </w:t>
      </w:r>
      <w:r>
        <w:rPr>
          <w:rFonts w:hint="eastAsia" w:asciiTheme="minorEastAsia" w:hAnsiTheme="minorEastAsia" w:eastAsiaTheme="minorEastAsia" w:cstheme="minorEastAsia"/>
          <w:color w:val="auto"/>
          <w:sz w:val="21"/>
          <w:szCs w:val="21"/>
          <w:highlight w:val="none"/>
        </w:rPr>
        <w:t>双方确定，按以下约定承担各自的违约责任：</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1.甲方违约责任。</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（1）甲方违反本合同第 三 条、第五条第1款约定，乙方的服务工作时间相应顺延。</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（2）甲方违反本合同第 四 条约定，若甲方逾期超过30日的，乙方有权单方解除本合同，并要求甲方支付已完成未支付的工作量对应的合同价款。</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3）甲方需中途终止合同，应提前15个工作日书面通知乙方，并阐明理由。已签订合同，但乙方尚未开展工作，甲方所支付的款项乙方不予退还；若乙方已开展工作，甲方应按乙方实际完成工作量按本合同第四条约定支付相应技术服务费用。</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2.乙方违约责任。</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（1）若因乙方逾期未完成本合同项下全部工作成果的，若逾期达30日以上的（含本数），甲方有权解除合同。</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若乙方提供的工作成果验收不合格的，乙方应在甲方通知期限内完成修改。若逾期达30日以上的（含本数），或验收不合格达3次以上（含本数）的，甲方有权解除合同，并有权要求乙方支付本合同费用总额20%的违约金，违约金不足以弥补直接损失的，还可要求赔偿相应损失。</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3）乙方违反本合同任一条款，甲方有权要求乙方限期整改。经3次整改后仍不能达到服务质量约定目标，甲方有权单方终止或解除本合同，乙方应向甲方支付本合同总价款20%的违约金，违约金不足以弥补直接损失的，还可要求赔偿相应损失。</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3.一方为主张权利所产生的各项费用(包括但不限于诉讼费、保全费、鉴定费、评估费、拍卖费、律师费、对第三人的赔偿款、相关行政部门罚款、执行费等)均由违约方承担。如因一方违约给守约方造成损失的，还应承担相应的赔偿责任。</w:t>
      </w:r>
    </w:p>
    <w:p>
      <w:pPr>
        <w:spacing w:line="360" w:lineRule="auto"/>
        <w:ind w:firstLine="422"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b/>
          <w:color w:val="auto"/>
          <w:sz w:val="21"/>
          <w:szCs w:val="21"/>
          <w:highlight w:val="none"/>
        </w:rPr>
        <w:t xml:space="preserve">第十条  </w:t>
      </w:r>
      <w:r>
        <w:rPr>
          <w:rFonts w:hint="eastAsia" w:asciiTheme="minorEastAsia" w:hAnsiTheme="minorEastAsia" w:eastAsiaTheme="minorEastAsia" w:cstheme="minorEastAsia"/>
          <w:color w:val="auto"/>
          <w:sz w:val="21"/>
          <w:szCs w:val="21"/>
          <w:highlight w:val="none"/>
        </w:rPr>
        <w:t>技术成果归属。</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1.在本合同履行期限内，甲方利用乙方提交的技术服务工作成果所完成的新的技术成果，归</w:t>
      </w:r>
      <w:r>
        <w:rPr>
          <w:rFonts w:hint="eastAsia" w:asciiTheme="minorEastAsia" w:hAnsiTheme="minorEastAsia" w:eastAsiaTheme="minorEastAsia" w:cstheme="minorEastAsia"/>
          <w:color w:val="auto"/>
          <w:sz w:val="21"/>
          <w:szCs w:val="21"/>
          <w:highlight w:val="none"/>
          <w:u w:val="single"/>
        </w:rPr>
        <w:t xml:space="preserve"> 甲 </w:t>
      </w:r>
      <w:r>
        <w:rPr>
          <w:rFonts w:hint="eastAsia" w:asciiTheme="minorEastAsia" w:hAnsiTheme="minorEastAsia" w:eastAsiaTheme="minorEastAsia" w:cstheme="minorEastAsia"/>
          <w:color w:val="auto"/>
          <w:sz w:val="21"/>
          <w:szCs w:val="21"/>
          <w:highlight w:val="none"/>
        </w:rPr>
        <w:t>方所有。</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2.有关本合同项下所完成的所有新的技术成果以及版权等均归</w:t>
      </w:r>
      <w:r>
        <w:rPr>
          <w:rFonts w:hint="eastAsia" w:asciiTheme="minorEastAsia" w:hAnsiTheme="minorEastAsia" w:eastAsiaTheme="minorEastAsia" w:cstheme="minorEastAsia"/>
          <w:color w:val="auto"/>
          <w:sz w:val="21"/>
          <w:szCs w:val="21"/>
          <w:highlight w:val="none"/>
          <w:u w:val="single"/>
        </w:rPr>
        <w:t xml:space="preserve"> 甲</w:t>
      </w:r>
      <w:r>
        <w:rPr>
          <w:rFonts w:hint="eastAsia" w:asciiTheme="minorEastAsia" w:hAnsiTheme="minorEastAsia" w:eastAsiaTheme="minorEastAsia" w:cstheme="minorEastAsia"/>
          <w:color w:val="auto"/>
          <w:sz w:val="21"/>
          <w:szCs w:val="21"/>
          <w:highlight w:val="none"/>
        </w:rPr>
        <w:t>方所有，乙方未经甲方书面同意不得挪作他用（包括但不限于任何形式使用利用、宣传、许可、转让、授权等），否则乙方构成违约；如乙方需使用，需以文书形式向甲方申请，获得甲方书面许可后方可使用，否则乙方构成违约。</w:t>
      </w:r>
    </w:p>
    <w:p>
      <w:pPr>
        <w:spacing w:line="360" w:lineRule="auto"/>
        <w:ind w:firstLine="422"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b/>
          <w:color w:val="auto"/>
          <w:sz w:val="21"/>
          <w:szCs w:val="21"/>
          <w:highlight w:val="none"/>
        </w:rPr>
        <w:t xml:space="preserve">第十一条  </w:t>
      </w:r>
      <w:r>
        <w:rPr>
          <w:rFonts w:hint="eastAsia" w:asciiTheme="minorEastAsia" w:hAnsiTheme="minorEastAsia" w:eastAsiaTheme="minorEastAsia" w:cstheme="minorEastAsia"/>
          <w:color w:val="auto"/>
          <w:sz w:val="21"/>
          <w:szCs w:val="21"/>
          <w:highlight w:val="none"/>
        </w:rPr>
        <w:t>双方确定，甲方指定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为甲方项目联系人，乙方指定</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为乙方项目联系人。项目联系人承担以下责任：</w:t>
      </w:r>
    </w:p>
    <w:p>
      <w:pPr>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u w:val="single"/>
        </w:rPr>
        <w:t>1.负责双方联系工作；</w:t>
      </w:r>
    </w:p>
    <w:p>
      <w:pPr>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u w:val="single"/>
        </w:rPr>
        <w:t>2.负责双方协调工作；</w:t>
      </w:r>
    </w:p>
    <w:p>
      <w:pPr>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u w:val="single"/>
        </w:rPr>
        <w:t>3.甲乙双方就对本项目各自工作人员具有调配能力。</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—方变更项目联系人的，应当及时以书面形式通知另一方。因未及时通知影响本合同履行或造成损失的，应承担相应的责任。</w:t>
      </w:r>
    </w:p>
    <w:p>
      <w:pPr>
        <w:spacing w:line="360" w:lineRule="auto"/>
        <w:ind w:firstLine="422"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b/>
          <w:color w:val="auto"/>
          <w:sz w:val="21"/>
          <w:szCs w:val="21"/>
          <w:highlight w:val="none"/>
        </w:rPr>
        <w:t xml:space="preserve">第十二条  </w:t>
      </w:r>
      <w:r>
        <w:rPr>
          <w:rFonts w:hint="eastAsia" w:asciiTheme="minorEastAsia" w:hAnsiTheme="minorEastAsia" w:eastAsiaTheme="minorEastAsia" w:cstheme="minorEastAsia"/>
          <w:color w:val="auto"/>
          <w:sz w:val="21"/>
          <w:szCs w:val="21"/>
          <w:highlight w:val="none"/>
        </w:rPr>
        <w:t>双方确定，出现下列情形，致使本合同的履行成为不必要或不可能的，可以解除本合同：</w:t>
      </w:r>
    </w:p>
    <w:p>
      <w:pPr>
        <w:spacing w:line="360" w:lineRule="auto"/>
        <w:ind w:firstLine="420"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u w:val="single"/>
        </w:rPr>
        <w:t>1.发生不可抗力 。</w:t>
      </w:r>
    </w:p>
    <w:p>
      <w:pPr>
        <w:spacing w:line="360" w:lineRule="auto"/>
        <w:ind w:firstLine="420"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color w:val="auto"/>
          <w:sz w:val="21"/>
          <w:szCs w:val="21"/>
          <w:highlight w:val="none"/>
          <w:u w:val="single"/>
        </w:rPr>
        <w:t>2.经双方协商一致达成自愿解除的书面补充协议。</w:t>
      </w:r>
    </w:p>
    <w:p>
      <w:pPr>
        <w:spacing w:line="360" w:lineRule="auto"/>
        <w:ind w:firstLine="422" w:firstLineChars="200"/>
        <w:rPr>
          <w:rFonts w:asciiTheme="minorEastAsia" w:hAnsiTheme="minorEastAsia" w:eastAsiaTheme="minorEastAsia" w:cstheme="minorEastAsia"/>
          <w:b/>
          <w:color w:val="auto"/>
          <w:sz w:val="21"/>
          <w:szCs w:val="21"/>
          <w:highlight w:val="none"/>
        </w:rPr>
      </w:pPr>
      <w:r>
        <w:rPr>
          <w:rFonts w:hint="eastAsia" w:asciiTheme="minorEastAsia" w:hAnsiTheme="minorEastAsia" w:eastAsiaTheme="minorEastAsia" w:cstheme="minorEastAsia"/>
          <w:b/>
          <w:color w:val="auto"/>
          <w:sz w:val="21"/>
          <w:szCs w:val="21"/>
          <w:highlight w:val="none"/>
        </w:rPr>
        <w:t xml:space="preserve">第十三条  </w:t>
      </w:r>
      <w:r>
        <w:rPr>
          <w:rFonts w:hint="eastAsia" w:asciiTheme="minorEastAsia" w:hAnsiTheme="minorEastAsia" w:eastAsiaTheme="minorEastAsia" w:cstheme="minorEastAsia"/>
          <w:color w:val="auto"/>
          <w:sz w:val="21"/>
          <w:szCs w:val="21"/>
          <w:highlight w:val="none"/>
        </w:rPr>
        <w:t>双方因履行本合同而发生的争议，应协商、调解解决。协商、调解不成的，依法向</w:t>
      </w:r>
      <w:r>
        <w:rPr>
          <w:rFonts w:hint="eastAsia" w:asciiTheme="minorEastAsia" w:hAnsiTheme="minorEastAsia" w:eastAsiaTheme="minorEastAsia" w:cstheme="minorEastAsia"/>
          <w:color w:val="auto"/>
          <w:sz w:val="21"/>
          <w:szCs w:val="21"/>
          <w:highlight w:val="none"/>
          <w:u w:val="single"/>
        </w:rPr>
        <w:t>甲</w:t>
      </w:r>
      <w:r>
        <w:rPr>
          <w:rFonts w:hint="eastAsia" w:asciiTheme="minorEastAsia" w:hAnsiTheme="minorEastAsia" w:eastAsiaTheme="minorEastAsia" w:cstheme="minorEastAsia"/>
          <w:color w:val="auto"/>
          <w:sz w:val="21"/>
          <w:szCs w:val="21"/>
          <w:highlight w:val="none"/>
        </w:rPr>
        <w:t>方所在地人民法院起诉。</w:t>
      </w:r>
    </w:p>
    <w:p>
      <w:pPr>
        <w:spacing w:line="360" w:lineRule="auto"/>
        <w:ind w:firstLine="422" w:firstLineChars="200"/>
        <w:rPr>
          <w:rFonts w:asciiTheme="minorEastAsia" w:hAnsiTheme="minorEastAsia" w:eastAsiaTheme="minorEastAsia" w:cstheme="minorEastAsia"/>
          <w:color w:val="auto"/>
          <w:sz w:val="21"/>
          <w:szCs w:val="21"/>
          <w:highlight w:val="none"/>
          <w:u w:val="single"/>
        </w:rPr>
      </w:pPr>
      <w:r>
        <w:rPr>
          <w:rFonts w:hint="eastAsia" w:asciiTheme="minorEastAsia" w:hAnsiTheme="minorEastAsia" w:eastAsiaTheme="minorEastAsia" w:cstheme="minorEastAsia"/>
          <w:b/>
          <w:color w:val="auto"/>
          <w:sz w:val="21"/>
          <w:szCs w:val="21"/>
          <w:highlight w:val="none"/>
        </w:rPr>
        <w:t xml:space="preserve">第十四条  </w:t>
      </w:r>
      <w:r>
        <w:rPr>
          <w:rFonts w:hint="eastAsia" w:asciiTheme="minorEastAsia" w:hAnsiTheme="minorEastAsia" w:eastAsiaTheme="minorEastAsia" w:cstheme="minorEastAsia"/>
          <w:color w:val="auto"/>
          <w:sz w:val="21"/>
          <w:szCs w:val="21"/>
          <w:highlight w:val="none"/>
        </w:rPr>
        <w:t>双方约定本合同其它相关事项为：</w:t>
      </w:r>
      <w:r>
        <w:rPr>
          <w:rFonts w:hint="eastAsia" w:asciiTheme="minorEastAsia" w:hAnsiTheme="minorEastAsia" w:eastAsiaTheme="minorEastAsia" w:cstheme="minorEastAsia"/>
          <w:color w:val="auto"/>
          <w:sz w:val="21"/>
          <w:szCs w:val="21"/>
          <w:highlight w:val="none"/>
          <w:u w:val="single"/>
        </w:rPr>
        <w:t xml:space="preserve"> 与履行本合同相关的附件文件经双方确认后，作为本合同的组成部分，与本合同具有同等法律效力；未尽事项，由甲乙双方另行协商确定。 </w:t>
      </w:r>
    </w:p>
    <w:p>
      <w:pPr>
        <w:spacing w:line="360" w:lineRule="auto"/>
        <w:ind w:firstLine="422"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b/>
          <w:color w:val="auto"/>
          <w:sz w:val="21"/>
          <w:szCs w:val="21"/>
          <w:highlight w:val="none"/>
        </w:rPr>
        <w:t xml:space="preserve">第十五条  </w:t>
      </w:r>
      <w:r>
        <w:rPr>
          <w:rFonts w:hint="eastAsia" w:asciiTheme="minorEastAsia" w:hAnsiTheme="minorEastAsia" w:eastAsiaTheme="minorEastAsia" w:cstheme="minorEastAsia"/>
          <w:color w:val="auto"/>
          <w:sz w:val="21"/>
          <w:szCs w:val="21"/>
          <w:highlight w:val="none"/>
        </w:rPr>
        <w:t>本合同载明的或工商登记的双方通讯地址可作为送达通知、函件、法院送达诉讼文书的地址，因载明的地址有误或未及时告知变更后的地址，导致相关文书及诉讼文书未能实际被接收的、邮寄送达的，相关文书及诉讼文书退回之日即视为送达之日。</w:t>
      </w:r>
    </w:p>
    <w:p>
      <w:pPr>
        <w:spacing w:line="360" w:lineRule="auto"/>
        <w:ind w:firstLine="422"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b/>
          <w:bCs/>
          <w:color w:val="auto"/>
          <w:sz w:val="21"/>
          <w:szCs w:val="21"/>
          <w:highlight w:val="none"/>
        </w:rPr>
        <w:t>第十六条</w:t>
      </w:r>
      <w:r>
        <w:rPr>
          <w:rFonts w:hint="eastAsia" w:asciiTheme="minorEastAsia" w:hAnsiTheme="minorEastAsia" w:eastAsiaTheme="minorEastAsia" w:cstheme="minorEastAsia"/>
          <w:color w:val="auto"/>
          <w:sz w:val="21"/>
          <w:szCs w:val="21"/>
          <w:highlight w:val="none"/>
        </w:rPr>
        <w:t xml:space="preserve"> 本合同一式</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份，甲方执</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份，乙方执</w:t>
      </w:r>
      <w:r>
        <w:rPr>
          <w:rFonts w:hint="eastAsia" w:asciiTheme="minorEastAsia" w:hAnsiTheme="minorEastAsia" w:eastAsiaTheme="minorEastAsia" w:cstheme="minorEastAsia"/>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份，具有同等法律效力。</w:t>
      </w:r>
    </w:p>
    <w:p>
      <w:pPr>
        <w:spacing w:line="360" w:lineRule="auto"/>
        <w:ind w:firstLine="422" w:firstLineChars="200"/>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b/>
          <w:color w:val="auto"/>
          <w:sz w:val="21"/>
          <w:szCs w:val="21"/>
          <w:highlight w:val="none"/>
        </w:rPr>
        <w:t xml:space="preserve">第十七条  </w:t>
      </w:r>
      <w:r>
        <w:rPr>
          <w:rFonts w:hint="eastAsia" w:asciiTheme="minorEastAsia" w:hAnsiTheme="minorEastAsia" w:eastAsiaTheme="minorEastAsia" w:cstheme="minorEastAsia"/>
          <w:color w:val="auto"/>
          <w:sz w:val="21"/>
          <w:szCs w:val="21"/>
          <w:highlight w:val="none"/>
        </w:rPr>
        <w:t>本合同经双方签字盖章后生效。</w:t>
      </w:r>
    </w:p>
    <w:p>
      <w:pPr>
        <w:spacing w:line="360" w:lineRule="auto"/>
        <w:ind w:firstLine="424" w:firstLineChars="202"/>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（以下无正文）</w:t>
      </w:r>
    </w:p>
    <w:p>
      <w:pPr>
        <w:widowControl/>
        <w:spacing w:line="360" w:lineRule="auto"/>
        <w:rPr>
          <w:rFonts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br w:type="page"/>
      </w:r>
    </w:p>
    <w:p>
      <w:pPr>
        <w:spacing w:line="480" w:lineRule="auto"/>
        <w:ind w:firstLine="426" w:firstLineChars="202"/>
        <w:rPr>
          <w:rFonts w:asciiTheme="minorEastAsia" w:hAnsiTheme="minorEastAsia" w:eastAsiaTheme="minorEastAsia" w:cstheme="minorEastAsia"/>
          <w:b/>
          <w:color w:val="auto"/>
          <w:sz w:val="21"/>
          <w:szCs w:val="21"/>
          <w:highlight w:val="none"/>
        </w:rPr>
      </w:pPr>
      <w:r>
        <w:rPr>
          <w:rFonts w:hint="eastAsia" w:asciiTheme="minorEastAsia" w:hAnsiTheme="minorEastAsia" w:eastAsiaTheme="minorEastAsia" w:cstheme="minorEastAsia"/>
          <w:b/>
          <w:color w:val="auto"/>
          <w:sz w:val="21"/>
          <w:szCs w:val="21"/>
          <w:highlight w:val="none"/>
        </w:rPr>
        <w:t>（本页为签署页，无正文）</w:t>
      </w:r>
    </w:p>
    <w:p>
      <w:pPr>
        <w:spacing w:line="480" w:lineRule="auto"/>
        <w:ind w:firstLine="426" w:firstLineChars="202"/>
        <w:rPr>
          <w:rFonts w:asciiTheme="minorEastAsia" w:hAnsiTheme="minorEastAsia" w:eastAsiaTheme="minorEastAsia" w:cstheme="minorEastAsia"/>
          <w:b/>
          <w:color w:val="auto"/>
          <w:sz w:val="21"/>
          <w:szCs w:val="21"/>
          <w:highlight w:val="none"/>
        </w:rPr>
      </w:pPr>
    </w:p>
    <w:p>
      <w:pPr>
        <w:spacing w:line="480" w:lineRule="auto"/>
        <w:ind w:firstLine="426" w:firstLineChars="202"/>
        <w:rPr>
          <w:rFonts w:asciiTheme="minorEastAsia" w:hAnsiTheme="minorEastAsia" w:eastAsiaTheme="minorEastAsia" w:cstheme="minorEastAsia"/>
          <w:b/>
          <w:color w:val="auto"/>
          <w:sz w:val="21"/>
          <w:szCs w:val="21"/>
          <w:highlight w:val="none"/>
        </w:rPr>
      </w:pPr>
      <w:r>
        <w:rPr>
          <w:rFonts w:hint="eastAsia" w:asciiTheme="minorEastAsia" w:hAnsiTheme="minorEastAsia" w:eastAsiaTheme="minorEastAsia" w:cstheme="minorEastAsia"/>
          <w:b/>
          <w:color w:val="auto"/>
          <w:sz w:val="21"/>
          <w:szCs w:val="21"/>
          <w:highlight w:val="none"/>
        </w:rPr>
        <w:t>甲方：</w:t>
      </w:r>
      <w:r>
        <w:rPr>
          <w:rFonts w:hint="eastAsia" w:asciiTheme="minorEastAsia" w:hAnsiTheme="minorEastAsia" w:eastAsiaTheme="minorEastAsia" w:cstheme="minorEastAsia"/>
          <w:b/>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（盖章）</w:t>
      </w:r>
    </w:p>
    <w:p>
      <w:pPr>
        <w:spacing w:line="480" w:lineRule="auto"/>
        <w:ind w:firstLine="426" w:firstLineChars="202"/>
        <w:rPr>
          <w:rFonts w:asciiTheme="minorEastAsia" w:hAnsiTheme="minorEastAsia" w:eastAsiaTheme="minorEastAsia" w:cstheme="minorEastAsia"/>
          <w:b/>
          <w:color w:val="auto"/>
          <w:sz w:val="21"/>
          <w:szCs w:val="21"/>
          <w:highlight w:val="none"/>
        </w:rPr>
      </w:pPr>
    </w:p>
    <w:p>
      <w:pPr>
        <w:spacing w:line="480" w:lineRule="auto"/>
        <w:ind w:firstLine="426" w:firstLineChars="202"/>
        <w:rPr>
          <w:rFonts w:asciiTheme="minorEastAsia" w:hAnsiTheme="minorEastAsia" w:eastAsiaTheme="minorEastAsia" w:cstheme="minorEastAsia"/>
          <w:b/>
          <w:color w:val="auto"/>
          <w:sz w:val="21"/>
          <w:szCs w:val="21"/>
          <w:highlight w:val="none"/>
        </w:rPr>
      </w:pPr>
      <w:r>
        <w:rPr>
          <w:rFonts w:hint="eastAsia" w:asciiTheme="minorEastAsia" w:hAnsiTheme="minorEastAsia" w:eastAsiaTheme="minorEastAsia" w:cstheme="minorEastAsia"/>
          <w:b/>
          <w:color w:val="auto"/>
          <w:sz w:val="21"/>
          <w:szCs w:val="21"/>
          <w:highlight w:val="none"/>
        </w:rPr>
        <w:t>法定代表人/委托代理人：</w:t>
      </w:r>
      <w:r>
        <w:rPr>
          <w:rFonts w:hint="eastAsia" w:asciiTheme="minorEastAsia" w:hAnsiTheme="minorEastAsia" w:eastAsiaTheme="minorEastAsia" w:cstheme="minorEastAsia"/>
          <w:b/>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（签章）</w:t>
      </w:r>
    </w:p>
    <w:p>
      <w:pPr>
        <w:spacing w:line="480" w:lineRule="auto"/>
        <w:ind w:firstLine="426" w:firstLineChars="202"/>
        <w:rPr>
          <w:rFonts w:asciiTheme="minorEastAsia" w:hAnsiTheme="minorEastAsia" w:eastAsiaTheme="minorEastAsia" w:cstheme="minorEastAsia"/>
          <w:b/>
          <w:color w:val="auto"/>
          <w:sz w:val="21"/>
          <w:szCs w:val="21"/>
          <w:highlight w:val="none"/>
        </w:rPr>
      </w:pPr>
      <w:r>
        <w:rPr>
          <w:rFonts w:hint="eastAsia" w:asciiTheme="minorEastAsia" w:hAnsiTheme="minorEastAsia" w:eastAsiaTheme="minorEastAsia" w:cstheme="minorEastAsia"/>
          <w:b/>
          <w:color w:val="auto"/>
          <w:sz w:val="21"/>
          <w:szCs w:val="21"/>
          <w:highlight w:val="none"/>
        </w:rPr>
        <w:t xml:space="preserve">                                      年    月    日</w:t>
      </w:r>
    </w:p>
    <w:p>
      <w:pPr>
        <w:spacing w:line="480" w:lineRule="auto"/>
        <w:ind w:firstLine="426" w:firstLineChars="202"/>
        <w:rPr>
          <w:rFonts w:asciiTheme="minorEastAsia" w:hAnsiTheme="minorEastAsia" w:eastAsiaTheme="minorEastAsia" w:cstheme="minorEastAsia"/>
          <w:b/>
          <w:color w:val="auto"/>
          <w:sz w:val="21"/>
          <w:szCs w:val="21"/>
          <w:highlight w:val="none"/>
        </w:rPr>
      </w:pPr>
    </w:p>
    <w:p>
      <w:pPr>
        <w:spacing w:line="480" w:lineRule="auto"/>
        <w:ind w:firstLine="426" w:firstLineChars="202"/>
        <w:rPr>
          <w:rFonts w:asciiTheme="minorEastAsia" w:hAnsiTheme="minorEastAsia" w:eastAsiaTheme="minorEastAsia" w:cstheme="minorEastAsia"/>
          <w:b/>
          <w:color w:val="auto"/>
          <w:sz w:val="21"/>
          <w:szCs w:val="21"/>
          <w:highlight w:val="none"/>
        </w:rPr>
      </w:pPr>
      <w:r>
        <w:rPr>
          <w:rFonts w:hint="eastAsia" w:asciiTheme="minorEastAsia" w:hAnsiTheme="minorEastAsia" w:eastAsiaTheme="minorEastAsia" w:cstheme="minorEastAsia"/>
          <w:b/>
          <w:color w:val="auto"/>
          <w:sz w:val="21"/>
          <w:szCs w:val="21"/>
          <w:highlight w:val="none"/>
        </w:rPr>
        <w:t>乙方：</w:t>
      </w:r>
      <w:r>
        <w:rPr>
          <w:rFonts w:hint="eastAsia" w:asciiTheme="minorEastAsia" w:hAnsiTheme="minorEastAsia" w:eastAsiaTheme="minorEastAsia" w:cstheme="minorEastAsia"/>
          <w:b/>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（盖章）</w:t>
      </w:r>
    </w:p>
    <w:p>
      <w:pPr>
        <w:spacing w:line="480" w:lineRule="auto"/>
        <w:ind w:firstLine="426" w:firstLineChars="202"/>
        <w:rPr>
          <w:rFonts w:asciiTheme="minorEastAsia" w:hAnsiTheme="minorEastAsia" w:eastAsiaTheme="minorEastAsia" w:cstheme="minorEastAsia"/>
          <w:b/>
          <w:color w:val="auto"/>
          <w:sz w:val="21"/>
          <w:szCs w:val="21"/>
          <w:highlight w:val="none"/>
        </w:rPr>
      </w:pPr>
    </w:p>
    <w:p>
      <w:pPr>
        <w:spacing w:line="480" w:lineRule="auto"/>
        <w:ind w:firstLine="426" w:firstLineChars="202"/>
        <w:rPr>
          <w:rFonts w:asciiTheme="minorEastAsia" w:hAnsiTheme="minorEastAsia" w:eastAsiaTheme="minorEastAsia" w:cstheme="minorEastAsia"/>
          <w:b/>
          <w:color w:val="auto"/>
          <w:sz w:val="21"/>
          <w:szCs w:val="21"/>
          <w:highlight w:val="none"/>
        </w:rPr>
      </w:pPr>
      <w:r>
        <w:rPr>
          <w:rFonts w:hint="eastAsia" w:asciiTheme="minorEastAsia" w:hAnsiTheme="minorEastAsia" w:eastAsiaTheme="minorEastAsia" w:cstheme="minorEastAsia"/>
          <w:b/>
          <w:color w:val="auto"/>
          <w:sz w:val="21"/>
          <w:szCs w:val="21"/>
          <w:highlight w:val="none"/>
        </w:rPr>
        <w:t>法定代表人/委托代理人：</w:t>
      </w:r>
      <w:r>
        <w:rPr>
          <w:rFonts w:hint="eastAsia" w:asciiTheme="minorEastAsia" w:hAnsiTheme="minorEastAsia" w:eastAsiaTheme="minorEastAsia" w:cstheme="minorEastAsia"/>
          <w:b/>
          <w:color w:val="auto"/>
          <w:sz w:val="21"/>
          <w:szCs w:val="21"/>
          <w:highlight w:val="none"/>
          <w:u w:val="single"/>
        </w:rPr>
        <w:t xml:space="preserve">                     </w:t>
      </w:r>
      <w:r>
        <w:rPr>
          <w:rFonts w:hint="eastAsia" w:asciiTheme="minorEastAsia" w:hAnsiTheme="minorEastAsia" w:eastAsiaTheme="minorEastAsia" w:cstheme="minorEastAsia"/>
          <w:color w:val="auto"/>
          <w:sz w:val="21"/>
          <w:szCs w:val="21"/>
          <w:highlight w:val="none"/>
        </w:rPr>
        <w:t>（签章）</w:t>
      </w:r>
    </w:p>
    <w:p>
      <w:pPr>
        <w:spacing w:line="480" w:lineRule="auto"/>
        <w:ind w:firstLine="426" w:firstLineChars="202"/>
        <w:rPr>
          <w:rFonts w:asciiTheme="minorEastAsia" w:hAnsiTheme="minorEastAsia" w:eastAsiaTheme="minorEastAsia" w:cstheme="minorEastAsia"/>
          <w:b/>
          <w:color w:val="auto"/>
          <w:sz w:val="21"/>
          <w:szCs w:val="21"/>
          <w:highlight w:val="none"/>
        </w:rPr>
      </w:pPr>
      <w:r>
        <w:rPr>
          <w:rFonts w:hint="eastAsia" w:asciiTheme="minorEastAsia" w:hAnsiTheme="minorEastAsia" w:eastAsiaTheme="minorEastAsia" w:cstheme="minorEastAsia"/>
          <w:b/>
          <w:color w:val="auto"/>
          <w:sz w:val="21"/>
          <w:szCs w:val="21"/>
          <w:highlight w:val="none"/>
        </w:rPr>
        <w:t xml:space="preserve">                                      年    月    日</w:t>
      </w:r>
    </w:p>
    <w:p>
      <w:pPr>
        <w:spacing w:line="480" w:lineRule="auto"/>
        <w:ind w:firstLine="568" w:firstLineChars="202"/>
        <w:rPr>
          <w:rFonts w:hAnsi="宋体" w:cs="宋体"/>
          <w:b/>
          <w:color w:val="auto"/>
          <w:sz w:val="28"/>
          <w:szCs w:val="28"/>
          <w:highlight w:val="none"/>
        </w:rPr>
      </w:pPr>
    </w:p>
    <w:p>
      <w:pPr>
        <w:spacing w:line="360" w:lineRule="auto"/>
        <w:rPr>
          <w:rFonts w:hAnsi="宋体" w:cs="宋体"/>
          <w:color w:val="auto"/>
          <w:sz w:val="21"/>
          <w:szCs w:val="21"/>
          <w:highlight w:val="none"/>
        </w:rPr>
      </w:pPr>
    </w:p>
    <w:p>
      <w:pPr>
        <w:spacing w:line="360" w:lineRule="auto"/>
        <w:jc w:val="center"/>
        <w:rPr>
          <w:rFonts w:hAnsi="宋体" w:cs="宋体"/>
          <w:color w:val="auto"/>
          <w:szCs w:val="21"/>
          <w:highlight w:val="none"/>
        </w:rPr>
      </w:pPr>
      <w:r>
        <w:rPr>
          <w:rFonts w:hint="eastAsia" w:hAnsi="宋体" w:cs="宋体"/>
          <w:b/>
          <w:bCs/>
          <w:color w:val="auto"/>
          <w:sz w:val="21"/>
          <w:highlight w:val="none"/>
        </w:rPr>
        <w:t>此仅为合同书样本，成交人需根据实际情况和业主签订相应的合同！</w:t>
      </w:r>
    </w:p>
    <w:p>
      <w:pPr>
        <w:rPr>
          <w:rFonts w:hAnsi="Tahoma"/>
          <w:bCs/>
          <w:color w:val="auto"/>
          <w:kern w:val="2"/>
          <w:sz w:val="21"/>
          <w:szCs w:val="21"/>
          <w:highlight w:val="none"/>
        </w:rPr>
      </w:pPr>
      <w:r>
        <w:rPr>
          <w:rFonts w:hAnsi="Tahoma"/>
          <w:bCs/>
          <w:color w:val="auto"/>
          <w:kern w:val="2"/>
          <w:sz w:val="21"/>
          <w:szCs w:val="21"/>
          <w:highlight w:val="none"/>
        </w:rPr>
        <w:br w:type="page"/>
      </w:r>
    </w:p>
    <w:p>
      <w:pPr>
        <w:pStyle w:val="2"/>
        <w:keepNext/>
        <w:keepLines/>
        <w:pageBreakBefore/>
        <w:numPr>
          <w:ilvl w:val="0"/>
          <w:numId w:val="7"/>
        </w:numPr>
        <w:tabs>
          <w:tab w:val="left" w:pos="1080"/>
        </w:tabs>
        <w:spacing w:line="360" w:lineRule="auto"/>
        <w:ind w:left="1262" w:hanging="1262" w:hangingChars="449"/>
        <w:jc w:val="center"/>
        <w:rPr>
          <w:rFonts w:hAnsi="宋体"/>
          <w:b/>
          <w:bCs/>
          <w:color w:val="auto"/>
          <w:kern w:val="44"/>
          <w:sz w:val="28"/>
          <w:szCs w:val="28"/>
          <w:highlight w:val="none"/>
          <w:lang w:val="zh-CN"/>
        </w:rPr>
      </w:pPr>
      <w:bookmarkStart w:id="91" w:name="_Toc396137242"/>
      <w:r>
        <w:rPr>
          <w:rFonts w:hint="eastAsia" w:hAnsi="宋体"/>
          <w:b/>
          <w:bCs/>
          <w:color w:val="auto"/>
          <w:kern w:val="44"/>
          <w:sz w:val="28"/>
          <w:szCs w:val="28"/>
          <w:highlight w:val="none"/>
        </w:rPr>
        <w:t xml:space="preserve"> </w:t>
      </w:r>
      <w:bookmarkStart w:id="92" w:name="_Toc14243"/>
      <w:r>
        <w:rPr>
          <w:rFonts w:hint="eastAsia" w:hAnsi="宋体"/>
          <w:b/>
          <w:bCs/>
          <w:color w:val="auto"/>
          <w:kern w:val="44"/>
          <w:sz w:val="28"/>
          <w:szCs w:val="28"/>
          <w:highlight w:val="none"/>
          <w:lang w:val="zh-CN"/>
        </w:rPr>
        <w:t>响应文件格式</w:t>
      </w:r>
      <w:bookmarkEnd w:id="91"/>
      <w:bookmarkEnd w:id="92"/>
    </w:p>
    <w:p>
      <w:pPr>
        <w:widowControl/>
        <w:spacing w:line="360" w:lineRule="auto"/>
        <w:ind w:right="-26"/>
        <w:jc w:val="center"/>
        <w:textAlignment w:val="bottom"/>
        <w:rPr>
          <w:rFonts w:hAnsi="宋体"/>
          <w:color w:val="auto"/>
          <w:sz w:val="32"/>
          <w:szCs w:val="48"/>
          <w:highlight w:val="none"/>
        </w:rPr>
      </w:pPr>
      <w:r>
        <w:rPr>
          <w:rFonts w:hint="eastAsia" w:hAnsi="宋体"/>
          <w:color w:val="auto"/>
          <w:sz w:val="32"/>
          <w:szCs w:val="48"/>
          <w:highlight w:val="none"/>
        </w:rPr>
        <w:t>响应文件封面</w:t>
      </w:r>
    </w:p>
    <w:p>
      <w:pPr>
        <w:widowControl/>
        <w:spacing w:line="360" w:lineRule="auto"/>
        <w:ind w:right="-26"/>
        <w:jc w:val="center"/>
        <w:textAlignment w:val="bottom"/>
        <w:rPr>
          <w:rFonts w:hAnsi="宋体"/>
          <w:color w:val="auto"/>
          <w:sz w:val="32"/>
          <w:szCs w:val="48"/>
          <w:highlight w:val="none"/>
        </w:rPr>
      </w:pPr>
    </w:p>
    <w:p>
      <w:pPr>
        <w:widowControl/>
        <w:spacing w:line="360" w:lineRule="auto"/>
        <w:ind w:right="-26"/>
        <w:jc w:val="center"/>
        <w:textAlignment w:val="bottom"/>
        <w:rPr>
          <w:rFonts w:hAnsi="宋体"/>
          <w:color w:val="auto"/>
          <w:sz w:val="32"/>
          <w:szCs w:val="48"/>
          <w:highlight w:val="none"/>
        </w:rPr>
      </w:pPr>
    </w:p>
    <w:p>
      <w:pPr>
        <w:widowControl/>
        <w:spacing w:line="360" w:lineRule="auto"/>
        <w:ind w:right="-26"/>
        <w:jc w:val="center"/>
        <w:textAlignment w:val="bottom"/>
        <w:rPr>
          <w:rFonts w:hAnsi="宋体"/>
          <w:b/>
          <w:color w:val="auto"/>
          <w:sz w:val="72"/>
          <w:szCs w:val="72"/>
          <w:highlight w:val="none"/>
        </w:rPr>
      </w:pPr>
      <w:r>
        <w:rPr>
          <w:rFonts w:hint="eastAsia" w:hAnsi="宋体"/>
          <w:b/>
          <w:color w:val="auto"/>
          <w:sz w:val="72"/>
          <w:szCs w:val="72"/>
          <w:highlight w:val="none"/>
        </w:rPr>
        <w:t>（项目名称）</w:t>
      </w:r>
    </w:p>
    <w:p>
      <w:pPr>
        <w:widowControl/>
        <w:spacing w:line="360" w:lineRule="auto"/>
        <w:ind w:right="-26"/>
        <w:jc w:val="center"/>
        <w:textAlignment w:val="bottom"/>
        <w:rPr>
          <w:rFonts w:hAnsi="宋体"/>
          <w:b/>
          <w:color w:val="auto"/>
          <w:sz w:val="48"/>
          <w:szCs w:val="48"/>
          <w:highlight w:val="none"/>
        </w:rPr>
      </w:pPr>
    </w:p>
    <w:p>
      <w:pPr>
        <w:widowControl/>
        <w:spacing w:line="360" w:lineRule="auto"/>
        <w:ind w:right="-26"/>
        <w:jc w:val="center"/>
        <w:textAlignment w:val="bottom"/>
        <w:rPr>
          <w:rFonts w:hAnsi="宋体"/>
          <w:b/>
          <w:color w:val="auto"/>
          <w:sz w:val="72"/>
          <w:highlight w:val="none"/>
        </w:rPr>
      </w:pPr>
      <w:r>
        <w:rPr>
          <w:rFonts w:hint="eastAsia" w:hAnsi="宋体"/>
          <w:b/>
          <w:color w:val="auto"/>
          <w:sz w:val="72"/>
          <w:highlight w:val="none"/>
        </w:rPr>
        <w:t>响应文件封面</w:t>
      </w:r>
    </w:p>
    <w:p>
      <w:pPr>
        <w:widowControl/>
        <w:spacing w:line="360" w:lineRule="auto"/>
        <w:ind w:right="-26"/>
        <w:jc w:val="center"/>
        <w:textAlignment w:val="bottom"/>
        <w:rPr>
          <w:rFonts w:hAnsi="宋体"/>
          <w:b/>
          <w:color w:val="auto"/>
          <w:sz w:val="44"/>
          <w:highlight w:val="none"/>
        </w:rPr>
      </w:pPr>
      <w:r>
        <w:rPr>
          <w:rFonts w:hint="eastAsia" w:hAnsi="宋体"/>
          <w:b/>
          <w:color w:val="auto"/>
          <w:sz w:val="44"/>
          <w:highlight w:val="none"/>
        </w:rPr>
        <w:t>（正本/副本）</w:t>
      </w:r>
    </w:p>
    <w:p>
      <w:pPr>
        <w:widowControl/>
        <w:spacing w:line="360" w:lineRule="auto"/>
        <w:ind w:right="-26"/>
        <w:jc w:val="center"/>
        <w:textAlignment w:val="bottom"/>
        <w:rPr>
          <w:rFonts w:hAnsi="宋体"/>
          <w:b/>
          <w:color w:val="auto"/>
          <w:sz w:val="32"/>
          <w:highlight w:val="none"/>
        </w:rPr>
      </w:pPr>
    </w:p>
    <w:p>
      <w:pPr>
        <w:widowControl/>
        <w:spacing w:line="360" w:lineRule="auto"/>
        <w:ind w:right="-26"/>
        <w:jc w:val="center"/>
        <w:textAlignment w:val="bottom"/>
        <w:rPr>
          <w:rFonts w:hAnsi="宋体"/>
          <w:b/>
          <w:color w:val="auto"/>
          <w:sz w:val="32"/>
          <w:highlight w:val="none"/>
        </w:rPr>
      </w:pPr>
    </w:p>
    <w:p>
      <w:pPr>
        <w:widowControl/>
        <w:spacing w:line="360" w:lineRule="auto"/>
        <w:ind w:right="-26"/>
        <w:jc w:val="center"/>
        <w:textAlignment w:val="bottom"/>
        <w:rPr>
          <w:rFonts w:hAnsi="宋体"/>
          <w:b/>
          <w:bCs/>
          <w:color w:val="auto"/>
          <w:sz w:val="32"/>
          <w:highlight w:val="none"/>
        </w:rPr>
      </w:pPr>
      <w:r>
        <w:rPr>
          <w:rFonts w:hint="eastAsia" w:hAnsi="宋体"/>
          <w:b/>
          <w:color w:val="auto"/>
          <w:sz w:val="32"/>
          <w:highlight w:val="none"/>
        </w:rPr>
        <w:t>采购项目编号：ZKZB-2024-C018</w:t>
      </w:r>
    </w:p>
    <w:p>
      <w:pPr>
        <w:widowControl/>
        <w:spacing w:line="360" w:lineRule="auto"/>
        <w:ind w:right="-26"/>
        <w:jc w:val="center"/>
        <w:textAlignment w:val="bottom"/>
        <w:rPr>
          <w:rFonts w:hAnsi="宋体"/>
          <w:b/>
          <w:color w:val="auto"/>
          <w:sz w:val="32"/>
          <w:highlight w:val="none"/>
        </w:rPr>
      </w:pPr>
      <w:r>
        <w:rPr>
          <w:rFonts w:hint="eastAsia" w:hAnsi="宋体"/>
          <w:b/>
          <w:color w:val="auto"/>
          <w:sz w:val="32"/>
          <w:highlight w:val="none"/>
        </w:rPr>
        <w:t>所响应采购包：第 包</w:t>
      </w:r>
    </w:p>
    <w:p>
      <w:pPr>
        <w:widowControl/>
        <w:spacing w:line="360" w:lineRule="auto"/>
        <w:ind w:right="-26"/>
        <w:jc w:val="center"/>
        <w:textAlignment w:val="bottom"/>
        <w:rPr>
          <w:rFonts w:hAnsi="宋体"/>
          <w:b/>
          <w:color w:val="auto"/>
          <w:sz w:val="32"/>
          <w:highlight w:val="none"/>
        </w:rPr>
      </w:pPr>
    </w:p>
    <w:p>
      <w:pPr>
        <w:widowControl/>
        <w:spacing w:line="360" w:lineRule="auto"/>
        <w:ind w:right="-26"/>
        <w:jc w:val="center"/>
        <w:textAlignment w:val="bottom"/>
        <w:rPr>
          <w:rFonts w:hAnsi="宋体"/>
          <w:b/>
          <w:color w:val="auto"/>
          <w:sz w:val="32"/>
          <w:highlight w:val="none"/>
        </w:rPr>
      </w:pPr>
      <w:r>
        <w:rPr>
          <w:rFonts w:hint="eastAsia" w:hAnsi="宋体"/>
          <w:b/>
          <w:color w:val="auto"/>
          <w:sz w:val="32"/>
          <w:highlight w:val="none"/>
        </w:rPr>
        <w:t>（供应商名称）</w:t>
      </w:r>
    </w:p>
    <w:p>
      <w:pPr>
        <w:widowControl/>
        <w:spacing w:line="360" w:lineRule="auto"/>
        <w:ind w:right="-26"/>
        <w:jc w:val="center"/>
        <w:textAlignment w:val="bottom"/>
        <w:rPr>
          <w:rFonts w:hAnsi="宋体"/>
          <w:b/>
          <w:color w:val="auto"/>
          <w:sz w:val="32"/>
          <w:highlight w:val="none"/>
        </w:rPr>
      </w:pPr>
      <w:r>
        <w:rPr>
          <w:rFonts w:hint="eastAsia" w:hAnsi="宋体"/>
          <w:b/>
          <w:color w:val="auto"/>
          <w:sz w:val="32"/>
          <w:highlight w:val="none"/>
        </w:rPr>
        <w:t>年 月 日</w:t>
      </w:r>
    </w:p>
    <w:p>
      <w:pPr>
        <w:spacing w:line="360" w:lineRule="auto"/>
        <w:jc w:val="center"/>
        <w:rPr>
          <w:rFonts w:hAnsi="宋体"/>
          <w:b/>
          <w:bCs/>
          <w:color w:val="auto"/>
          <w:kern w:val="44"/>
          <w:sz w:val="28"/>
          <w:szCs w:val="28"/>
          <w:highlight w:val="none"/>
          <w:lang w:val="zh-CN"/>
        </w:rPr>
      </w:pPr>
      <w:r>
        <w:rPr>
          <w:rFonts w:hAnsi="宋体"/>
          <w:b/>
          <w:bCs/>
          <w:color w:val="auto"/>
          <w:kern w:val="44"/>
          <w:sz w:val="28"/>
          <w:szCs w:val="28"/>
          <w:highlight w:val="none"/>
          <w:lang w:val="zh-CN"/>
        </w:rPr>
        <w:br w:type="page"/>
      </w:r>
      <w:r>
        <w:rPr>
          <w:rFonts w:hint="eastAsia" w:hAnsi="宋体"/>
          <w:b/>
          <w:bCs/>
          <w:color w:val="auto"/>
          <w:kern w:val="44"/>
          <w:sz w:val="28"/>
          <w:szCs w:val="28"/>
          <w:highlight w:val="none"/>
          <w:lang w:val="zh-CN"/>
        </w:rPr>
        <w:t>目  录</w:t>
      </w:r>
    </w:p>
    <w:p>
      <w:pPr>
        <w:spacing w:line="360" w:lineRule="auto"/>
        <w:rPr>
          <w:rFonts w:hAnsi="宋体"/>
          <w:b/>
          <w:bCs/>
          <w:color w:val="auto"/>
          <w:sz w:val="21"/>
          <w:szCs w:val="21"/>
          <w:highlight w:val="none"/>
          <w:lang w:val="zh-CN"/>
        </w:rPr>
      </w:pPr>
      <w:bookmarkStart w:id="93" w:name="_Toc396137247"/>
      <w:bookmarkStart w:id="94" w:name="_Toc367438805"/>
      <w:r>
        <w:rPr>
          <w:rFonts w:hint="eastAsia" w:hAnsi="宋体"/>
          <w:b/>
          <w:bCs/>
          <w:color w:val="auto"/>
          <w:sz w:val="21"/>
          <w:szCs w:val="21"/>
          <w:highlight w:val="none"/>
          <w:lang w:val="zh-CN"/>
        </w:rPr>
        <w:t>第一节、</w:t>
      </w:r>
      <w:r>
        <w:rPr>
          <w:rFonts w:hint="eastAsia" w:hAnsi="宋体"/>
          <w:b/>
          <w:bCs/>
          <w:color w:val="auto"/>
          <w:kern w:val="2"/>
          <w:sz w:val="21"/>
          <w:szCs w:val="21"/>
          <w:highlight w:val="none"/>
          <w:lang w:val="zh-CN"/>
        </w:rPr>
        <w:t>商务</w:t>
      </w:r>
      <w:r>
        <w:rPr>
          <w:rFonts w:hint="eastAsia" w:hAnsi="宋体"/>
          <w:b/>
          <w:bCs/>
          <w:color w:val="auto"/>
          <w:sz w:val="21"/>
          <w:szCs w:val="21"/>
          <w:highlight w:val="none"/>
          <w:lang w:val="zh-CN"/>
        </w:rPr>
        <w:t>文件</w:t>
      </w:r>
    </w:p>
    <w:p>
      <w:pPr>
        <w:numPr>
          <w:ilvl w:val="0"/>
          <w:numId w:val="25"/>
        </w:numPr>
        <w:spacing w:line="360" w:lineRule="auto"/>
        <w:ind w:left="1134" w:hanging="708"/>
        <w:rPr>
          <w:rFonts w:hAnsi="宋体"/>
          <w:color w:val="auto"/>
          <w:sz w:val="21"/>
          <w:szCs w:val="21"/>
          <w:highlight w:val="none"/>
        </w:rPr>
      </w:pPr>
      <w:r>
        <w:rPr>
          <w:rFonts w:hint="eastAsia" w:hAnsi="宋体"/>
          <w:color w:val="auto"/>
          <w:sz w:val="21"/>
          <w:szCs w:val="21"/>
          <w:highlight w:val="none"/>
        </w:rPr>
        <w:t>投标函</w:t>
      </w:r>
    </w:p>
    <w:p>
      <w:pPr>
        <w:numPr>
          <w:ilvl w:val="0"/>
          <w:numId w:val="25"/>
        </w:numPr>
        <w:spacing w:line="360" w:lineRule="auto"/>
        <w:ind w:left="1134" w:hanging="708"/>
        <w:rPr>
          <w:rFonts w:hAnsi="宋体"/>
          <w:color w:val="auto"/>
          <w:sz w:val="21"/>
          <w:szCs w:val="21"/>
          <w:highlight w:val="none"/>
        </w:rPr>
      </w:pPr>
      <w:r>
        <w:rPr>
          <w:rFonts w:hint="eastAsia" w:hAnsi="宋体"/>
          <w:color w:val="auto"/>
          <w:sz w:val="21"/>
          <w:szCs w:val="21"/>
          <w:highlight w:val="none"/>
          <w:lang w:eastAsia="zh-CN"/>
        </w:rPr>
        <w:t>首次报价表</w:t>
      </w:r>
      <w:r>
        <w:rPr>
          <w:rFonts w:hint="eastAsia" w:hAnsi="宋体"/>
          <w:color w:val="auto"/>
          <w:sz w:val="21"/>
          <w:szCs w:val="21"/>
          <w:highlight w:val="none"/>
        </w:rPr>
        <w:t>（开标一览表）</w:t>
      </w:r>
    </w:p>
    <w:p>
      <w:pPr>
        <w:numPr>
          <w:ilvl w:val="0"/>
          <w:numId w:val="25"/>
        </w:numPr>
        <w:spacing w:line="360" w:lineRule="auto"/>
        <w:ind w:left="1134" w:hanging="708"/>
        <w:rPr>
          <w:rFonts w:hAnsi="宋体"/>
          <w:color w:val="auto"/>
          <w:sz w:val="21"/>
          <w:szCs w:val="21"/>
          <w:highlight w:val="none"/>
        </w:rPr>
      </w:pPr>
      <w:r>
        <w:rPr>
          <w:rFonts w:hint="eastAsia" w:hAnsi="宋体"/>
          <w:color w:val="auto"/>
          <w:sz w:val="21"/>
          <w:szCs w:val="21"/>
          <w:highlight w:val="none"/>
        </w:rPr>
        <w:t>分类报价明细表</w:t>
      </w:r>
    </w:p>
    <w:p>
      <w:pPr>
        <w:numPr>
          <w:ilvl w:val="0"/>
          <w:numId w:val="25"/>
        </w:numPr>
        <w:spacing w:line="360" w:lineRule="auto"/>
        <w:ind w:left="1134" w:hanging="708"/>
        <w:rPr>
          <w:rFonts w:hAnsi="宋体"/>
          <w:color w:val="auto"/>
          <w:sz w:val="21"/>
          <w:szCs w:val="21"/>
          <w:highlight w:val="none"/>
        </w:rPr>
      </w:pPr>
      <w:bookmarkStart w:id="95" w:name="_Hlk12541090"/>
      <w:r>
        <w:rPr>
          <w:rFonts w:hint="eastAsia" w:hAnsi="宋体"/>
          <w:color w:val="auto"/>
          <w:sz w:val="21"/>
          <w:szCs w:val="21"/>
          <w:highlight w:val="none"/>
        </w:rPr>
        <w:t>政策适用性说明</w:t>
      </w:r>
      <w:bookmarkEnd w:id="95"/>
    </w:p>
    <w:p>
      <w:pPr>
        <w:numPr>
          <w:ilvl w:val="0"/>
          <w:numId w:val="25"/>
        </w:numPr>
        <w:spacing w:line="360" w:lineRule="auto"/>
        <w:ind w:left="1134" w:hanging="708"/>
        <w:rPr>
          <w:rFonts w:hAnsi="宋体"/>
          <w:color w:val="auto"/>
          <w:sz w:val="21"/>
          <w:szCs w:val="21"/>
          <w:highlight w:val="none"/>
        </w:rPr>
      </w:pPr>
      <w:r>
        <w:rPr>
          <w:rFonts w:hint="eastAsia" w:hAnsi="宋体"/>
          <w:color w:val="auto"/>
          <w:sz w:val="21"/>
          <w:szCs w:val="21"/>
          <w:highlight w:val="none"/>
        </w:rPr>
        <w:t>法定代表人身份证明书</w:t>
      </w:r>
    </w:p>
    <w:p>
      <w:pPr>
        <w:numPr>
          <w:ilvl w:val="0"/>
          <w:numId w:val="25"/>
        </w:numPr>
        <w:spacing w:line="360" w:lineRule="auto"/>
        <w:ind w:left="1134" w:hanging="708"/>
        <w:rPr>
          <w:rFonts w:hAnsi="宋体"/>
          <w:color w:val="auto"/>
          <w:sz w:val="21"/>
          <w:szCs w:val="21"/>
          <w:highlight w:val="none"/>
        </w:rPr>
      </w:pPr>
      <w:r>
        <w:rPr>
          <w:rFonts w:hint="eastAsia" w:hAnsi="宋体"/>
          <w:color w:val="auto"/>
          <w:sz w:val="21"/>
          <w:szCs w:val="21"/>
          <w:highlight w:val="none"/>
        </w:rPr>
        <w:t>法定代表人授权委托书</w:t>
      </w:r>
    </w:p>
    <w:p>
      <w:pPr>
        <w:numPr>
          <w:ilvl w:val="0"/>
          <w:numId w:val="25"/>
        </w:numPr>
        <w:spacing w:line="360" w:lineRule="auto"/>
        <w:ind w:left="1134" w:hanging="708"/>
        <w:rPr>
          <w:rFonts w:hAnsi="宋体"/>
          <w:color w:val="auto"/>
          <w:sz w:val="21"/>
          <w:szCs w:val="21"/>
          <w:highlight w:val="none"/>
        </w:rPr>
      </w:pPr>
      <w:r>
        <w:rPr>
          <w:rFonts w:hint="eastAsia" w:hAnsi="宋体"/>
          <w:color w:val="auto"/>
          <w:sz w:val="21"/>
          <w:szCs w:val="21"/>
          <w:highlight w:val="none"/>
        </w:rPr>
        <w:t>投标保证金汇入情况说明（本项目不适用）</w:t>
      </w:r>
    </w:p>
    <w:p>
      <w:pPr>
        <w:numPr>
          <w:ilvl w:val="0"/>
          <w:numId w:val="25"/>
        </w:numPr>
        <w:spacing w:line="360" w:lineRule="auto"/>
        <w:ind w:left="1134" w:hanging="708"/>
        <w:rPr>
          <w:rFonts w:hAnsi="宋体"/>
          <w:color w:val="auto"/>
          <w:sz w:val="21"/>
          <w:szCs w:val="21"/>
          <w:highlight w:val="none"/>
        </w:rPr>
      </w:pPr>
      <w:r>
        <w:rPr>
          <w:rFonts w:hint="eastAsia" w:hAnsi="宋体"/>
          <w:color w:val="auto"/>
          <w:sz w:val="21"/>
          <w:szCs w:val="21"/>
          <w:highlight w:val="none"/>
        </w:rPr>
        <w:t>提供具有独立承担民事责任的能力的证明材料</w:t>
      </w:r>
    </w:p>
    <w:p>
      <w:pPr>
        <w:numPr>
          <w:ilvl w:val="0"/>
          <w:numId w:val="25"/>
        </w:numPr>
        <w:spacing w:line="360" w:lineRule="auto"/>
        <w:ind w:left="1134" w:hanging="708"/>
        <w:rPr>
          <w:rFonts w:hAnsi="宋体"/>
          <w:color w:val="auto"/>
          <w:sz w:val="21"/>
          <w:szCs w:val="21"/>
          <w:highlight w:val="none"/>
        </w:rPr>
      </w:pPr>
      <w:r>
        <w:rPr>
          <w:rFonts w:hint="eastAsia" w:hAnsi="宋体"/>
          <w:color w:val="auto"/>
          <w:sz w:val="21"/>
          <w:szCs w:val="21"/>
          <w:highlight w:val="none"/>
        </w:rPr>
        <w:t>资格性审查要求的其他资质证明文件</w:t>
      </w:r>
    </w:p>
    <w:p>
      <w:pPr>
        <w:spacing w:line="360" w:lineRule="auto"/>
        <w:ind w:left="1134"/>
        <w:rPr>
          <w:rFonts w:hAnsi="宋体"/>
          <w:color w:val="auto"/>
          <w:sz w:val="21"/>
          <w:szCs w:val="21"/>
          <w:highlight w:val="none"/>
        </w:rPr>
      </w:pPr>
      <w:r>
        <w:rPr>
          <w:rFonts w:hint="eastAsia" w:hAnsi="宋体"/>
          <w:color w:val="auto"/>
          <w:sz w:val="21"/>
          <w:szCs w:val="21"/>
          <w:highlight w:val="none"/>
        </w:rPr>
        <w:t>1．供应商资格声明函</w:t>
      </w:r>
    </w:p>
    <w:p>
      <w:pPr>
        <w:spacing w:line="360" w:lineRule="auto"/>
        <w:ind w:left="1134"/>
        <w:rPr>
          <w:rFonts w:hAnsi="宋体"/>
          <w:color w:val="auto"/>
          <w:sz w:val="21"/>
          <w:szCs w:val="21"/>
          <w:highlight w:val="none"/>
        </w:rPr>
      </w:pPr>
      <w:r>
        <w:rPr>
          <w:rFonts w:hint="eastAsia" w:hAnsi="宋体"/>
          <w:color w:val="auto"/>
          <w:sz w:val="21"/>
          <w:szCs w:val="21"/>
          <w:highlight w:val="none"/>
        </w:rPr>
        <w:t>2．供应商资格条件的证明材料</w:t>
      </w:r>
    </w:p>
    <w:p>
      <w:pPr>
        <w:numPr>
          <w:ilvl w:val="0"/>
          <w:numId w:val="25"/>
        </w:numPr>
        <w:spacing w:line="360" w:lineRule="auto"/>
        <w:ind w:left="1134" w:hanging="708"/>
        <w:rPr>
          <w:rFonts w:hAnsi="宋体"/>
          <w:color w:val="auto"/>
          <w:sz w:val="21"/>
          <w:szCs w:val="21"/>
          <w:highlight w:val="none"/>
        </w:rPr>
      </w:pPr>
      <w:r>
        <w:rPr>
          <w:rFonts w:hint="eastAsia" w:hAnsi="宋体"/>
          <w:color w:val="auto"/>
          <w:sz w:val="21"/>
          <w:szCs w:val="21"/>
          <w:highlight w:val="none"/>
        </w:rPr>
        <w:t>中小企业声明函</w:t>
      </w:r>
    </w:p>
    <w:p>
      <w:pPr>
        <w:numPr>
          <w:ilvl w:val="0"/>
          <w:numId w:val="25"/>
        </w:numPr>
        <w:spacing w:line="360" w:lineRule="auto"/>
        <w:ind w:left="1134" w:hanging="708"/>
        <w:rPr>
          <w:rFonts w:hAnsi="宋体"/>
          <w:color w:val="auto"/>
          <w:sz w:val="21"/>
          <w:szCs w:val="21"/>
          <w:highlight w:val="none"/>
        </w:rPr>
      </w:pPr>
      <w:r>
        <w:rPr>
          <w:rFonts w:hint="eastAsia" w:hAnsi="宋体"/>
          <w:color w:val="auto"/>
          <w:sz w:val="21"/>
          <w:szCs w:val="21"/>
          <w:highlight w:val="none"/>
        </w:rPr>
        <w:t>监狱企业</w:t>
      </w:r>
    </w:p>
    <w:p>
      <w:pPr>
        <w:numPr>
          <w:ilvl w:val="0"/>
          <w:numId w:val="25"/>
        </w:numPr>
        <w:spacing w:line="360" w:lineRule="auto"/>
        <w:ind w:left="1134" w:hanging="708"/>
        <w:rPr>
          <w:rFonts w:hAnsi="宋体"/>
          <w:color w:val="auto"/>
          <w:sz w:val="21"/>
          <w:szCs w:val="21"/>
          <w:highlight w:val="none"/>
        </w:rPr>
      </w:pPr>
      <w:r>
        <w:rPr>
          <w:rFonts w:hint="eastAsia" w:hAnsi="宋体"/>
          <w:color w:val="auto"/>
          <w:sz w:val="21"/>
          <w:szCs w:val="21"/>
          <w:highlight w:val="none"/>
        </w:rPr>
        <w:t>残疾人福利性单位声明函</w:t>
      </w:r>
    </w:p>
    <w:p>
      <w:pPr>
        <w:numPr>
          <w:ilvl w:val="0"/>
          <w:numId w:val="25"/>
        </w:numPr>
        <w:spacing w:line="360" w:lineRule="auto"/>
        <w:ind w:left="1134" w:hanging="708"/>
        <w:rPr>
          <w:rFonts w:hAnsi="宋体"/>
          <w:bCs/>
          <w:color w:val="auto"/>
          <w:sz w:val="21"/>
          <w:szCs w:val="21"/>
          <w:highlight w:val="none"/>
        </w:rPr>
      </w:pPr>
      <w:r>
        <w:rPr>
          <w:bCs/>
          <w:color w:val="auto"/>
          <w:sz w:val="21"/>
          <w:szCs w:val="21"/>
          <w:highlight w:val="none"/>
        </w:rPr>
        <w:t>联合体共同响应协议书</w:t>
      </w:r>
    </w:p>
    <w:p>
      <w:pPr>
        <w:numPr>
          <w:ilvl w:val="0"/>
          <w:numId w:val="25"/>
        </w:numPr>
        <w:spacing w:line="360" w:lineRule="auto"/>
        <w:ind w:left="1134" w:hanging="708"/>
        <w:rPr>
          <w:rFonts w:hAnsi="宋体"/>
          <w:color w:val="auto"/>
          <w:sz w:val="21"/>
          <w:szCs w:val="21"/>
          <w:highlight w:val="none"/>
        </w:rPr>
      </w:pPr>
      <w:r>
        <w:rPr>
          <w:rFonts w:hint="eastAsia" w:hAnsi="宋体"/>
          <w:color w:val="auto"/>
          <w:sz w:val="21"/>
          <w:szCs w:val="21"/>
          <w:highlight w:val="none"/>
        </w:rPr>
        <w:t>供应商业绩情况表</w:t>
      </w:r>
    </w:p>
    <w:p>
      <w:pPr>
        <w:numPr>
          <w:ilvl w:val="0"/>
          <w:numId w:val="25"/>
        </w:numPr>
        <w:spacing w:line="360" w:lineRule="auto"/>
        <w:ind w:left="1134" w:hanging="708"/>
        <w:rPr>
          <w:rFonts w:hAnsi="宋体"/>
          <w:color w:val="auto"/>
          <w:sz w:val="21"/>
          <w:szCs w:val="21"/>
          <w:highlight w:val="none"/>
        </w:rPr>
      </w:pPr>
      <w:r>
        <w:rPr>
          <w:rFonts w:hint="eastAsia" w:hAnsi="宋体"/>
          <w:color w:val="auto"/>
          <w:sz w:val="21"/>
          <w:szCs w:val="21"/>
          <w:highlight w:val="none"/>
        </w:rPr>
        <w:t>技术和服务要求响应表</w:t>
      </w:r>
    </w:p>
    <w:p>
      <w:pPr>
        <w:numPr>
          <w:ilvl w:val="0"/>
          <w:numId w:val="25"/>
        </w:numPr>
        <w:spacing w:line="360" w:lineRule="auto"/>
        <w:ind w:left="1134" w:hanging="708"/>
        <w:rPr>
          <w:rFonts w:hAnsi="宋体"/>
          <w:color w:val="auto"/>
          <w:sz w:val="21"/>
          <w:szCs w:val="21"/>
          <w:highlight w:val="none"/>
        </w:rPr>
      </w:pPr>
      <w:r>
        <w:rPr>
          <w:rFonts w:hint="eastAsia" w:hAnsi="宋体"/>
          <w:color w:val="auto"/>
          <w:sz w:val="21"/>
          <w:szCs w:val="21"/>
          <w:highlight w:val="none"/>
        </w:rPr>
        <w:t>商务条件响应表</w:t>
      </w:r>
    </w:p>
    <w:p>
      <w:pPr>
        <w:numPr>
          <w:ilvl w:val="0"/>
          <w:numId w:val="25"/>
        </w:numPr>
        <w:spacing w:line="360" w:lineRule="auto"/>
        <w:ind w:left="1134" w:hanging="708"/>
        <w:rPr>
          <w:rFonts w:hAnsi="宋体"/>
          <w:color w:val="auto"/>
          <w:sz w:val="21"/>
          <w:szCs w:val="21"/>
          <w:highlight w:val="none"/>
        </w:rPr>
      </w:pPr>
      <w:r>
        <w:rPr>
          <w:rFonts w:hint="eastAsia" w:hAnsi="宋体"/>
          <w:color w:val="auto"/>
          <w:sz w:val="21"/>
          <w:szCs w:val="21"/>
          <w:highlight w:val="none"/>
        </w:rPr>
        <w:t>投标承诺书</w:t>
      </w:r>
    </w:p>
    <w:p>
      <w:pPr>
        <w:numPr>
          <w:ilvl w:val="0"/>
          <w:numId w:val="25"/>
        </w:numPr>
        <w:spacing w:line="360" w:lineRule="auto"/>
        <w:ind w:left="1134" w:hanging="708"/>
        <w:rPr>
          <w:rFonts w:hAnsi="宋体"/>
          <w:color w:val="auto"/>
          <w:sz w:val="21"/>
          <w:szCs w:val="21"/>
          <w:highlight w:val="none"/>
        </w:rPr>
      </w:pPr>
      <w:r>
        <w:rPr>
          <w:rFonts w:hint="eastAsia" w:hAnsi="宋体"/>
          <w:color w:val="auto"/>
          <w:sz w:val="21"/>
          <w:szCs w:val="21"/>
          <w:highlight w:val="none"/>
        </w:rPr>
        <w:t>供应商基本情况</w:t>
      </w:r>
    </w:p>
    <w:p>
      <w:pPr>
        <w:numPr>
          <w:ilvl w:val="0"/>
          <w:numId w:val="25"/>
        </w:numPr>
        <w:spacing w:line="360" w:lineRule="auto"/>
        <w:ind w:left="1134" w:hanging="708"/>
        <w:rPr>
          <w:rFonts w:hAnsi="宋体"/>
          <w:color w:val="auto"/>
          <w:sz w:val="21"/>
          <w:szCs w:val="21"/>
          <w:highlight w:val="none"/>
        </w:rPr>
      </w:pPr>
      <w:r>
        <w:rPr>
          <w:rFonts w:hint="eastAsia" w:hAnsi="宋体"/>
          <w:color w:val="auto"/>
          <w:sz w:val="21"/>
          <w:szCs w:val="21"/>
          <w:highlight w:val="none"/>
        </w:rPr>
        <w:t>合同条款偏离表</w:t>
      </w:r>
    </w:p>
    <w:p>
      <w:pPr>
        <w:numPr>
          <w:ilvl w:val="0"/>
          <w:numId w:val="25"/>
        </w:numPr>
        <w:spacing w:line="360" w:lineRule="auto"/>
        <w:ind w:left="1134" w:hanging="708"/>
        <w:rPr>
          <w:rFonts w:hAnsi="宋体"/>
          <w:color w:val="auto"/>
          <w:sz w:val="21"/>
          <w:szCs w:val="21"/>
          <w:highlight w:val="none"/>
        </w:rPr>
      </w:pPr>
      <w:r>
        <w:rPr>
          <w:rFonts w:hint="eastAsia" w:hAnsi="宋体"/>
          <w:color w:val="auto"/>
          <w:sz w:val="21"/>
          <w:szCs w:val="21"/>
          <w:highlight w:val="none"/>
        </w:rPr>
        <w:t>招标代理服务费承诺书</w:t>
      </w:r>
    </w:p>
    <w:p>
      <w:pPr>
        <w:numPr>
          <w:ilvl w:val="0"/>
          <w:numId w:val="25"/>
        </w:numPr>
        <w:spacing w:line="360" w:lineRule="auto"/>
        <w:ind w:left="1134" w:hanging="708"/>
        <w:rPr>
          <w:rFonts w:hAnsi="宋体"/>
          <w:color w:val="auto"/>
          <w:sz w:val="21"/>
          <w:szCs w:val="21"/>
          <w:highlight w:val="none"/>
        </w:rPr>
      </w:pPr>
      <w:r>
        <w:rPr>
          <w:rFonts w:hint="eastAsia" w:hAnsi="宋体"/>
          <w:color w:val="auto"/>
          <w:sz w:val="21"/>
          <w:szCs w:val="21"/>
          <w:highlight w:val="none"/>
        </w:rPr>
        <w:t>其他资料</w:t>
      </w:r>
    </w:p>
    <w:p>
      <w:pPr>
        <w:spacing w:line="360" w:lineRule="auto"/>
        <w:rPr>
          <w:rFonts w:hAnsi="宋体"/>
          <w:b/>
          <w:bCs/>
          <w:color w:val="auto"/>
          <w:kern w:val="2"/>
          <w:sz w:val="21"/>
          <w:szCs w:val="21"/>
          <w:highlight w:val="none"/>
          <w:u w:val="single"/>
          <w:lang w:val="zh-CN"/>
        </w:rPr>
      </w:pPr>
      <w:r>
        <w:rPr>
          <w:rFonts w:hint="eastAsia" w:hAnsi="宋体"/>
          <w:b/>
          <w:bCs/>
          <w:color w:val="auto"/>
          <w:sz w:val="21"/>
          <w:szCs w:val="21"/>
          <w:highlight w:val="none"/>
          <w:lang w:val="zh-CN"/>
        </w:rPr>
        <w:t>第二节、</w:t>
      </w:r>
      <w:r>
        <w:rPr>
          <w:rFonts w:hint="eastAsia" w:hAnsi="宋体"/>
          <w:b/>
          <w:bCs/>
          <w:color w:val="auto"/>
          <w:kern w:val="2"/>
          <w:sz w:val="21"/>
          <w:szCs w:val="21"/>
          <w:highlight w:val="none"/>
          <w:lang w:val="zh-CN"/>
        </w:rPr>
        <w:t>技术文件</w:t>
      </w:r>
    </w:p>
    <w:p>
      <w:pPr>
        <w:numPr>
          <w:ilvl w:val="0"/>
          <w:numId w:val="26"/>
        </w:numPr>
        <w:spacing w:line="360" w:lineRule="auto"/>
        <w:ind w:left="1134" w:hanging="708"/>
        <w:rPr>
          <w:rFonts w:hAnsi="宋体"/>
          <w:color w:val="auto"/>
          <w:sz w:val="21"/>
          <w:szCs w:val="21"/>
          <w:highlight w:val="none"/>
        </w:rPr>
      </w:pPr>
      <w:r>
        <w:rPr>
          <w:rFonts w:hint="eastAsia" w:hAnsi="宋体"/>
          <w:color w:val="auto"/>
          <w:sz w:val="21"/>
          <w:szCs w:val="21"/>
          <w:highlight w:val="none"/>
        </w:rPr>
        <w:t>投标方案</w:t>
      </w:r>
    </w:p>
    <w:p>
      <w:pPr>
        <w:numPr>
          <w:ilvl w:val="0"/>
          <w:numId w:val="26"/>
        </w:numPr>
        <w:spacing w:line="360" w:lineRule="auto"/>
        <w:ind w:left="1134" w:hanging="708"/>
        <w:rPr>
          <w:rFonts w:hAnsi="宋体"/>
          <w:color w:val="auto"/>
          <w:sz w:val="21"/>
          <w:szCs w:val="21"/>
          <w:highlight w:val="none"/>
        </w:rPr>
      </w:pPr>
      <w:r>
        <w:rPr>
          <w:rFonts w:hint="eastAsia" w:hAnsi="宋体"/>
          <w:color w:val="auto"/>
          <w:sz w:val="21"/>
          <w:szCs w:val="21"/>
          <w:highlight w:val="none"/>
        </w:rPr>
        <w:t>拟安排本项目技术人员情况表</w:t>
      </w:r>
    </w:p>
    <w:p>
      <w:pPr>
        <w:numPr>
          <w:ilvl w:val="0"/>
          <w:numId w:val="26"/>
        </w:numPr>
        <w:spacing w:line="360" w:lineRule="auto"/>
        <w:ind w:left="1134" w:hanging="708"/>
        <w:rPr>
          <w:rFonts w:hAnsi="宋体"/>
          <w:color w:val="auto"/>
          <w:sz w:val="21"/>
          <w:szCs w:val="21"/>
          <w:highlight w:val="none"/>
        </w:rPr>
      </w:pPr>
      <w:r>
        <w:rPr>
          <w:rFonts w:hint="eastAsia" w:hAnsi="宋体"/>
          <w:color w:val="auto"/>
          <w:sz w:val="21"/>
          <w:szCs w:val="21"/>
          <w:highlight w:val="none"/>
        </w:rPr>
        <w:t>其他资料</w:t>
      </w:r>
    </w:p>
    <w:p>
      <w:pPr>
        <w:spacing w:line="360" w:lineRule="auto"/>
        <w:rPr>
          <w:rFonts w:hAnsi="宋体"/>
          <w:b/>
          <w:color w:val="auto"/>
          <w:sz w:val="21"/>
          <w:szCs w:val="21"/>
          <w:highlight w:val="none"/>
        </w:rPr>
      </w:pPr>
      <w:r>
        <w:rPr>
          <w:rFonts w:hint="eastAsia" w:hAnsi="宋体"/>
          <w:b/>
          <w:bCs/>
          <w:color w:val="auto"/>
          <w:sz w:val="21"/>
          <w:szCs w:val="21"/>
          <w:highlight w:val="none"/>
          <w:lang w:val="zh-CN"/>
        </w:rPr>
        <w:t>第三节、</w:t>
      </w:r>
      <w:r>
        <w:rPr>
          <w:rFonts w:hint="eastAsia" w:hAnsi="宋体"/>
          <w:b/>
          <w:color w:val="auto"/>
          <w:sz w:val="21"/>
          <w:szCs w:val="21"/>
          <w:highlight w:val="none"/>
        </w:rPr>
        <w:t>报价信封（单独分装）</w:t>
      </w:r>
    </w:p>
    <w:p>
      <w:pPr>
        <w:numPr>
          <w:ilvl w:val="0"/>
          <w:numId w:val="27"/>
        </w:numPr>
        <w:spacing w:line="360" w:lineRule="auto"/>
        <w:ind w:left="1134" w:hanging="708"/>
        <w:rPr>
          <w:rFonts w:hAnsi="宋体"/>
          <w:color w:val="auto"/>
          <w:sz w:val="21"/>
          <w:szCs w:val="21"/>
          <w:highlight w:val="none"/>
        </w:rPr>
      </w:pPr>
      <w:r>
        <w:rPr>
          <w:rFonts w:hint="eastAsia" w:hAnsi="宋体"/>
          <w:color w:val="auto"/>
          <w:sz w:val="21"/>
          <w:szCs w:val="21"/>
          <w:highlight w:val="none"/>
          <w:lang w:eastAsia="zh-CN"/>
        </w:rPr>
        <w:t>首次报价表</w:t>
      </w:r>
      <w:r>
        <w:rPr>
          <w:rFonts w:hint="eastAsia" w:hAnsi="宋体"/>
          <w:color w:val="auto"/>
          <w:sz w:val="21"/>
          <w:szCs w:val="21"/>
          <w:highlight w:val="none"/>
        </w:rPr>
        <w:t>（开标一览表）</w:t>
      </w:r>
    </w:p>
    <w:p>
      <w:pPr>
        <w:numPr>
          <w:ilvl w:val="0"/>
          <w:numId w:val="27"/>
        </w:numPr>
        <w:spacing w:line="360" w:lineRule="auto"/>
        <w:ind w:left="1134" w:hanging="708"/>
        <w:rPr>
          <w:rFonts w:hAnsi="宋体"/>
          <w:color w:val="auto"/>
          <w:sz w:val="21"/>
          <w:szCs w:val="21"/>
          <w:highlight w:val="none"/>
        </w:rPr>
      </w:pPr>
      <w:r>
        <w:rPr>
          <w:rFonts w:hint="eastAsia" w:hAnsi="宋体"/>
          <w:color w:val="auto"/>
          <w:sz w:val="21"/>
          <w:szCs w:val="21"/>
          <w:highlight w:val="none"/>
        </w:rPr>
        <w:t>投标保证金汇入情况说明</w:t>
      </w:r>
    </w:p>
    <w:p>
      <w:pPr>
        <w:numPr>
          <w:ilvl w:val="0"/>
          <w:numId w:val="27"/>
        </w:numPr>
        <w:spacing w:line="360" w:lineRule="auto"/>
        <w:ind w:left="1134" w:hanging="708"/>
        <w:rPr>
          <w:rFonts w:hAnsi="宋体"/>
          <w:color w:val="auto"/>
          <w:sz w:val="21"/>
          <w:szCs w:val="21"/>
          <w:highlight w:val="none"/>
        </w:rPr>
      </w:pPr>
      <w:r>
        <w:rPr>
          <w:rFonts w:hint="eastAsia" w:hAnsi="宋体"/>
          <w:color w:val="auto"/>
          <w:sz w:val="21"/>
          <w:szCs w:val="21"/>
          <w:highlight w:val="none"/>
        </w:rPr>
        <w:t>电子文件</w:t>
      </w:r>
    </w:p>
    <w:p>
      <w:pPr>
        <w:pStyle w:val="3"/>
        <w:pageBreakBefore/>
        <w:spacing w:line="360" w:lineRule="auto"/>
        <w:jc w:val="center"/>
        <w:rPr>
          <w:rFonts w:hAnsi="宋体"/>
          <w:color w:val="auto"/>
          <w:highlight w:val="none"/>
        </w:rPr>
      </w:pPr>
      <w:bookmarkStart w:id="96" w:name="_Toc19264"/>
      <w:r>
        <w:rPr>
          <w:rFonts w:hint="eastAsia" w:hAnsi="宋体"/>
          <w:b/>
          <w:color w:val="auto"/>
          <w:sz w:val="28"/>
          <w:szCs w:val="28"/>
          <w:highlight w:val="none"/>
        </w:rPr>
        <w:t>第一节 商务文件</w:t>
      </w:r>
      <w:bookmarkEnd w:id="93"/>
      <w:bookmarkEnd w:id="94"/>
      <w:bookmarkEnd w:id="96"/>
    </w:p>
    <w:p>
      <w:pPr>
        <w:pStyle w:val="4"/>
        <w:numPr>
          <w:ilvl w:val="0"/>
          <w:numId w:val="28"/>
        </w:numPr>
        <w:spacing w:line="360" w:lineRule="auto"/>
        <w:jc w:val="center"/>
        <w:rPr>
          <w:rFonts w:hAnsi="宋体"/>
          <w:b/>
          <w:color w:val="auto"/>
          <w:highlight w:val="none"/>
        </w:rPr>
      </w:pPr>
      <w:bookmarkStart w:id="97" w:name="_Toc10363"/>
      <w:r>
        <w:rPr>
          <w:rFonts w:hint="eastAsia" w:hAnsi="宋体"/>
          <w:b/>
          <w:color w:val="auto"/>
          <w:highlight w:val="none"/>
        </w:rPr>
        <w:t>投标函</w:t>
      </w:r>
      <w:bookmarkEnd w:id="97"/>
    </w:p>
    <w:p>
      <w:pPr>
        <w:spacing w:line="360" w:lineRule="auto"/>
        <w:rPr>
          <w:rFonts w:hAnsi="宋体"/>
          <w:b/>
          <w:color w:val="auto"/>
          <w:sz w:val="21"/>
          <w:szCs w:val="21"/>
          <w:highlight w:val="none"/>
        </w:rPr>
      </w:pPr>
      <w:r>
        <w:rPr>
          <w:rFonts w:hint="eastAsia" w:hAnsi="宋体"/>
          <w:b/>
          <w:color w:val="auto"/>
          <w:sz w:val="21"/>
          <w:szCs w:val="21"/>
          <w:highlight w:val="none"/>
        </w:rPr>
        <w:t xml:space="preserve">致：广东中科招标有限公司 </w:t>
      </w:r>
    </w:p>
    <w:p>
      <w:pPr>
        <w:spacing w:line="360" w:lineRule="auto"/>
        <w:ind w:firstLine="420"/>
        <w:jc w:val="both"/>
        <w:rPr>
          <w:rFonts w:hAnsi="宋体"/>
          <w:color w:val="auto"/>
          <w:kern w:val="2"/>
          <w:sz w:val="21"/>
          <w:szCs w:val="21"/>
          <w:highlight w:val="none"/>
        </w:rPr>
      </w:pPr>
      <w:r>
        <w:rPr>
          <w:rFonts w:hint="eastAsia" w:hAnsi="宋体"/>
          <w:color w:val="auto"/>
          <w:kern w:val="2"/>
          <w:sz w:val="21"/>
          <w:szCs w:val="21"/>
          <w:highlight w:val="none"/>
        </w:rPr>
        <w:t>你方组织的</w:t>
      </w:r>
      <w:r>
        <w:rPr>
          <w:rFonts w:hint="eastAsia" w:hAnsi="宋体"/>
          <w:color w:val="auto"/>
          <w:kern w:val="2"/>
          <w:sz w:val="21"/>
          <w:szCs w:val="21"/>
          <w:highlight w:val="none"/>
          <w:u w:val="single"/>
        </w:rPr>
        <w:t>霄边社区典型村“百千万工程”建设提升规划编制</w:t>
      </w:r>
      <w:r>
        <w:rPr>
          <w:rFonts w:hint="eastAsia" w:hAnsi="宋体"/>
          <w:color w:val="auto"/>
          <w:kern w:val="2"/>
          <w:sz w:val="21"/>
          <w:szCs w:val="21"/>
          <w:highlight w:val="none"/>
        </w:rPr>
        <w:t>项目的招标</w:t>
      </w:r>
      <w:r>
        <w:rPr>
          <w:rFonts w:hAnsi="宋体"/>
          <w:color w:val="auto"/>
          <w:kern w:val="2"/>
          <w:sz w:val="21"/>
          <w:szCs w:val="21"/>
          <w:highlight w:val="none"/>
        </w:rPr>
        <w:t>[</w:t>
      </w:r>
      <w:r>
        <w:rPr>
          <w:rFonts w:hint="eastAsia" w:hAnsi="宋体"/>
          <w:color w:val="auto"/>
          <w:kern w:val="2"/>
          <w:sz w:val="21"/>
          <w:szCs w:val="21"/>
          <w:highlight w:val="none"/>
        </w:rPr>
        <w:t>采购项目编号为：</w:t>
      </w:r>
      <w:r>
        <w:rPr>
          <w:rFonts w:hint="eastAsia" w:hAnsi="宋体"/>
          <w:b/>
          <w:color w:val="auto"/>
          <w:kern w:val="2"/>
          <w:sz w:val="21"/>
          <w:szCs w:val="21"/>
          <w:highlight w:val="none"/>
          <w:u w:val="single"/>
        </w:rPr>
        <w:t>ZKZB-2024-C018</w:t>
      </w:r>
      <w:r>
        <w:rPr>
          <w:rFonts w:hAnsi="宋体"/>
          <w:color w:val="auto"/>
          <w:kern w:val="2"/>
          <w:sz w:val="21"/>
          <w:szCs w:val="21"/>
          <w:highlight w:val="none"/>
        </w:rPr>
        <w:t>]</w:t>
      </w:r>
      <w:r>
        <w:rPr>
          <w:rFonts w:hint="eastAsia" w:hAnsi="宋体"/>
          <w:color w:val="auto"/>
          <w:kern w:val="2"/>
          <w:sz w:val="21"/>
          <w:szCs w:val="21"/>
          <w:highlight w:val="none"/>
        </w:rPr>
        <w:t>，我方愿参与投标。</w:t>
      </w:r>
    </w:p>
    <w:p>
      <w:pPr>
        <w:spacing w:line="360" w:lineRule="auto"/>
        <w:ind w:firstLine="420"/>
        <w:jc w:val="both"/>
        <w:rPr>
          <w:rFonts w:hAnsi="宋体"/>
          <w:color w:val="auto"/>
          <w:kern w:val="2"/>
          <w:sz w:val="21"/>
          <w:szCs w:val="21"/>
          <w:highlight w:val="none"/>
        </w:rPr>
      </w:pPr>
      <w:r>
        <w:rPr>
          <w:rFonts w:hint="eastAsia" w:hAnsi="宋体"/>
          <w:color w:val="auto"/>
          <w:kern w:val="2"/>
          <w:sz w:val="21"/>
          <w:szCs w:val="21"/>
          <w:highlight w:val="none"/>
        </w:rPr>
        <w:t>我方确认收到贵方提供的</w:t>
      </w:r>
      <w:r>
        <w:rPr>
          <w:rFonts w:hint="eastAsia" w:hAnsi="宋体"/>
          <w:color w:val="auto"/>
          <w:kern w:val="2"/>
          <w:sz w:val="21"/>
          <w:szCs w:val="21"/>
          <w:highlight w:val="none"/>
          <w:u w:val="single"/>
        </w:rPr>
        <w:t>霄边社区典型村“百千万工程”建设提升规划编制</w:t>
      </w:r>
      <w:r>
        <w:rPr>
          <w:rFonts w:hint="eastAsia" w:hAnsi="宋体"/>
          <w:color w:val="auto"/>
          <w:kern w:val="2"/>
          <w:sz w:val="21"/>
          <w:szCs w:val="21"/>
          <w:highlight w:val="none"/>
        </w:rPr>
        <w:t>项目的磋商文件的全部内容。</w:t>
      </w:r>
    </w:p>
    <w:p>
      <w:pPr>
        <w:spacing w:line="360" w:lineRule="auto"/>
        <w:ind w:firstLine="420"/>
        <w:jc w:val="both"/>
        <w:rPr>
          <w:rFonts w:hAnsi="宋体"/>
          <w:color w:val="auto"/>
          <w:kern w:val="2"/>
          <w:sz w:val="21"/>
          <w:szCs w:val="21"/>
          <w:highlight w:val="none"/>
        </w:rPr>
      </w:pPr>
      <w:r>
        <w:rPr>
          <w:rFonts w:hint="eastAsia" w:hAnsi="宋体"/>
          <w:color w:val="auto"/>
          <w:kern w:val="2"/>
          <w:sz w:val="21"/>
          <w:szCs w:val="21"/>
          <w:highlight w:val="none"/>
        </w:rPr>
        <w:t>我方在参与投标前已详细研究了磋商文件的所有内容，包括澄清、修改文件（如果有）和所有已提供的参考资料以及有关附件，我方完全明白并认为此磋商文件没有倾向性，也不存在排斥潜在供应商的内容，我方同意磋商文件的相关条款，放弃对磋商文件提出误解和质疑的一切权力。</w:t>
      </w:r>
    </w:p>
    <w:p>
      <w:pPr>
        <w:spacing w:line="360" w:lineRule="auto"/>
        <w:ind w:firstLine="420"/>
        <w:jc w:val="both"/>
        <w:rPr>
          <w:rFonts w:hAnsi="宋体"/>
          <w:color w:val="auto"/>
          <w:kern w:val="2"/>
          <w:sz w:val="21"/>
          <w:szCs w:val="21"/>
          <w:highlight w:val="none"/>
        </w:rPr>
      </w:pPr>
      <w:r>
        <w:rPr>
          <w:rFonts w:hAnsi="宋体"/>
          <w:color w:val="auto"/>
          <w:kern w:val="2"/>
          <w:sz w:val="21"/>
          <w:szCs w:val="21"/>
          <w:highlight w:val="none"/>
          <w:u w:val="single"/>
        </w:rPr>
        <w:t>(</w:t>
      </w:r>
      <w:r>
        <w:rPr>
          <w:rFonts w:hint="eastAsia" w:hAnsi="宋体"/>
          <w:color w:val="auto"/>
          <w:kern w:val="2"/>
          <w:sz w:val="21"/>
          <w:szCs w:val="21"/>
          <w:highlight w:val="none"/>
          <w:u w:val="single"/>
        </w:rPr>
        <w:t>供应商名称</w:t>
      </w:r>
      <w:r>
        <w:rPr>
          <w:rFonts w:hAnsi="宋体"/>
          <w:color w:val="auto"/>
          <w:kern w:val="2"/>
          <w:sz w:val="21"/>
          <w:szCs w:val="21"/>
          <w:highlight w:val="none"/>
          <w:u w:val="single"/>
        </w:rPr>
        <w:t>)</w:t>
      </w:r>
      <w:r>
        <w:rPr>
          <w:rFonts w:hint="eastAsia" w:hAnsi="宋体"/>
          <w:color w:val="auto"/>
          <w:kern w:val="2"/>
          <w:sz w:val="21"/>
          <w:szCs w:val="21"/>
          <w:highlight w:val="none"/>
        </w:rPr>
        <w:t>作为供应商正式授权</w:t>
      </w:r>
      <w:r>
        <w:rPr>
          <w:rFonts w:hAnsi="宋体"/>
          <w:color w:val="auto"/>
          <w:kern w:val="2"/>
          <w:sz w:val="21"/>
          <w:szCs w:val="21"/>
          <w:highlight w:val="none"/>
          <w:u w:val="single"/>
        </w:rPr>
        <w:t>(</w:t>
      </w:r>
      <w:r>
        <w:rPr>
          <w:rFonts w:hint="eastAsia" w:hAnsi="宋体"/>
          <w:color w:val="auto"/>
          <w:kern w:val="2"/>
          <w:sz w:val="21"/>
          <w:szCs w:val="21"/>
          <w:highlight w:val="none"/>
          <w:u w:val="single"/>
        </w:rPr>
        <w:t>授权代表全名</w:t>
      </w:r>
      <w:r>
        <w:rPr>
          <w:rFonts w:hAnsi="宋体"/>
          <w:color w:val="auto"/>
          <w:kern w:val="2"/>
          <w:sz w:val="21"/>
          <w:szCs w:val="21"/>
          <w:highlight w:val="none"/>
          <w:u w:val="single"/>
        </w:rPr>
        <w:t>,</w:t>
      </w:r>
      <w:r>
        <w:rPr>
          <w:rFonts w:hint="eastAsia" w:hAnsi="宋体"/>
          <w:color w:val="auto"/>
          <w:kern w:val="2"/>
          <w:sz w:val="21"/>
          <w:szCs w:val="21"/>
          <w:highlight w:val="none"/>
          <w:u w:val="single"/>
        </w:rPr>
        <w:t>职务</w:t>
      </w:r>
      <w:r>
        <w:rPr>
          <w:rFonts w:hAnsi="宋体"/>
          <w:color w:val="auto"/>
          <w:kern w:val="2"/>
          <w:sz w:val="21"/>
          <w:szCs w:val="21"/>
          <w:highlight w:val="none"/>
          <w:u w:val="single"/>
        </w:rPr>
        <w:t>)</w:t>
      </w:r>
      <w:r>
        <w:rPr>
          <w:rFonts w:hint="eastAsia" w:hAnsi="宋体"/>
          <w:color w:val="auto"/>
          <w:kern w:val="2"/>
          <w:sz w:val="21"/>
          <w:szCs w:val="21"/>
          <w:highlight w:val="none"/>
        </w:rPr>
        <w:t>代表我方全权处理有关本投标的一切事宜。</w:t>
      </w:r>
    </w:p>
    <w:p>
      <w:pPr>
        <w:spacing w:line="360" w:lineRule="auto"/>
        <w:ind w:firstLine="420"/>
        <w:jc w:val="both"/>
        <w:rPr>
          <w:rFonts w:hAnsi="宋体"/>
          <w:color w:val="auto"/>
          <w:kern w:val="2"/>
          <w:sz w:val="21"/>
          <w:szCs w:val="21"/>
          <w:highlight w:val="none"/>
        </w:rPr>
      </w:pPr>
      <w:r>
        <w:rPr>
          <w:rFonts w:hint="eastAsia" w:hAnsi="宋体"/>
          <w:color w:val="auto"/>
          <w:kern w:val="2"/>
          <w:sz w:val="21"/>
          <w:szCs w:val="21"/>
          <w:highlight w:val="none"/>
        </w:rPr>
        <w:t>我方已完全明白磋商文件的所有条款要求，并申明如下：</w:t>
      </w:r>
    </w:p>
    <w:p>
      <w:pPr>
        <w:spacing w:line="360" w:lineRule="auto"/>
        <w:ind w:firstLine="420"/>
        <w:jc w:val="both"/>
        <w:rPr>
          <w:rFonts w:hAnsi="宋体"/>
          <w:color w:val="auto"/>
          <w:kern w:val="2"/>
          <w:sz w:val="21"/>
          <w:szCs w:val="21"/>
          <w:highlight w:val="none"/>
        </w:rPr>
      </w:pPr>
      <w:r>
        <w:rPr>
          <w:rFonts w:hint="eastAsia" w:hAnsi="宋体"/>
          <w:color w:val="auto"/>
          <w:kern w:val="2"/>
          <w:sz w:val="21"/>
          <w:szCs w:val="21"/>
          <w:highlight w:val="none"/>
        </w:rPr>
        <w:t>（一）按磋商文件提供的全部货物与相关服务的投标总价详见《开标一览表》。</w:t>
      </w:r>
    </w:p>
    <w:p>
      <w:pPr>
        <w:spacing w:line="360" w:lineRule="auto"/>
        <w:ind w:firstLine="420"/>
        <w:jc w:val="both"/>
        <w:rPr>
          <w:rFonts w:hAnsi="宋体"/>
          <w:color w:val="auto"/>
          <w:kern w:val="2"/>
          <w:sz w:val="21"/>
          <w:szCs w:val="21"/>
          <w:highlight w:val="none"/>
        </w:rPr>
      </w:pPr>
      <w:r>
        <w:rPr>
          <w:rFonts w:hint="eastAsia" w:hAnsi="宋体"/>
          <w:color w:val="auto"/>
          <w:kern w:val="2"/>
          <w:sz w:val="21"/>
          <w:szCs w:val="21"/>
          <w:highlight w:val="none"/>
        </w:rPr>
        <w:t>（二）本响应文件的有效期为投标截止时间起</w:t>
      </w:r>
      <w:r>
        <w:rPr>
          <w:rFonts w:hAnsi="宋体"/>
          <w:color w:val="auto"/>
          <w:kern w:val="2"/>
          <w:sz w:val="21"/>
          <w:szCs w:val="21"/>
          <w:highlight w:val="none"/>
        </w:rPr>
        <w:t>90</w:t>
      </w:r>
      <w:r>
        <w:rPr>
          <w:rFonts w:hint="eastAsia" w:hAnsi="宋体"/>
          <w:color w:val="auto"/>
          <w:kern w:val="2"/>
          <w:sz w:val="21"/>
          <w:szCs w:val="21"/>
          <w:highlight w:val="none"/>
        </w:rPr>
        <w:t>天。如成交，有效期将延至合同终止日为止。在此提交的资格证明文件均至投标截止日有效，如有在投标有效期内失效的，我方承诺在成交后补齐一切手续，保证所有资格证明文件能在签订采购合同时直至采购合同终止日有效。</w:t>
      </w:r>
    </w:p>
    <w:p>
      <w:pPr>
        <w:spacing w:line="360" w:lineRule="auto"/>
        <w:ind w:firstLine="420"/>
        <w:jc w:val="both"/>
        <w:rPr>
          <w:rFonts w:hAnsi="宋体"/>
          <w:color w:val="auto"/>
          <w:kern w:val="2"/>
          <w:sz w:val="21"/>
          <w:szCs w:val="21"/>
          <w:highlight w:val="none"/>
        </w:rPr>
      </w:pPr>
      <w:r>
        <w:rPr>
          <w:rFonts w:hint="eastAsia" w:hAnsi="宋体"/>
          <w:color w:val="auto"/>
          <w:kern w:val="2"/>
          <w:sz w:val="21"/>
          <w:szCs w:val="21"/>
          <w:highlight w:val="none"/>
        </w:rPr>
        <w:t>（三）我方明白并同意，在规定的开标日之后，投标有效期之内撤回投标或成交后不按规定与采购人签订合同或不提交履约保证金</w:t>
      </w:r>
      <w:r>
        <w:rPr>
          <w:rFonts w:hAnsi="宋体"/>
          <w:color w:val="auto"/>
          <w:kern w:val="2"/>
          <w:sz w:val="21"/>
          <w:szCs w:val="21"/>
          <w:highlight w:val="none"/>
        </w:rPr>
        <w:t xml:space="preserve">, </w:t>
      </w:r>
      <w:r>
        <w:rPr>
          <w:rFonts w:hint="eastAsia" w:hAnsi="宋体"/>
          <w:color w:val="auto"/>
          <w:kern w:val="2"/>
          <w:sz w:val="21"/>
          <w:szCs w:val="21"/>
          <w:highlight w:val="none"/>
        </w:rPr>
        <w:t>则贵方将不予退还投标保证金。</w:t>
      </w:r>
    </w:p>
    <w:p>
      <w:pPr>
        <w:spacing w:line="360" w:lineRule="auto"/>
        <w:ind w:firstLine="420"/>
        <w:jc w:val="both"/>
        <w:rPr>
          <w:rFonts w:hAnsi="宋体"/>
          <w:color w:val="auto"/>
          <w:kern w:val="2"/>
          <w:sz w:val="21"/>
          <w:szCs w:val="21"/>
          <w:highlight w:val="none"/>
        </w:rPr>
      </w:pPr>
      <w:r>
        <w:rPr>
          <w:rFonts w:hint="eastAsia" w:hAnsi="宋体"/>
          <w:color w:val="auto"/>
          <w:kern w:val="2"/>
          <w:sz w:val="21"/>
          <w:szCs w:val="21"/>
          <w:highlight w:val="none"/>
        </w:rPr>
        <w:t>（四）我方愿意向贵方提供任何与本项报价有关的数据、情况和技术资料。若贵方需要，我方愿意提供我方作出的一切承诺的证明材料。</w:t>
      </w:r>
    </w:p>
    <w:p>
      <w:pPr>
        <w:spacing w:line="360" w:lineRule="auto"/>
        <w:ind w:firstLine="420"/>
        <w:jc w:val="both"/>
        <w:rPr>
          <w:rFonts w:hAnsi="宋体"/>
          <w:color w:val="auto"/>
          <w:kern w:val="2"/>
          <w:sz w:val="21"/>
          <w:szCs w:val="21"/>
          <w:highlight w:val="none"/>
        </w:rPr>
      </w:pPr>
      <w:r>
        <w:rPr>
          <w:rFonts w:hint="eastAsia" w:hAnsi="宋体"/>
          <w:color w:val="auto"/>
          <w:kern w:val="2"/>
          <w:sz w:val="21"/>
          <w:szCs w:val="21"/>
          <w:highlight w:val="none"/>
        </w:rPr>
        <w:t>（五）我方理解贵方不一定接受最低投标价或任何贵方可能收到的投标。</w:t>
      </w:r>
    </w:p>
    <w:p>
      <w:pPr>
        <w:spacing w:line="360" w:lineRule="auto"/>
        <w:ind w:firstLine="420"/>
        <w:jc w:val="both"/>
        <w:rPr>
          <w:rFonts w:hAnsi="宋体"/>
          <w:color w:val="auto"/>
          <w:kern w:val="2"/>
          <w:sz w:val="21"/>
          <w:szCs w:val="21"/>
          <w:highlight w:val="none"/>
        </w:rPr>
      </w:pPr>
      <w:r>
        <w:rPr>
          <w:rFonts w:hint="eastAsia" w:hAnsi="宋体"/>
          <w:color w:val="auto"/>
          <w:kern w:val="2"/>
          <w:sz w:val="21"/>
          <w:szCs w:val="21"/>
          <w:highlight w:val="none"/>
        </w:rPr>
        <w:t>（六）我方如果成交，将保证履行磋商文件及其澄清、修改文件（如果有）中的全部责任和义务，按质、按量、按期完成《采购需求》及《合同书》中的全部任务。</w:t>
      </w:r>
    </w:p>
    <w:p>
      <w:pPr>
        <w:spacing w:line="360" w:lineRule="auto"/>
        <w:ind w:firstLine="420"/>
        <w:jc w:val="both"/>
        <w:rPr>
          <w:rFonts w:hAnsi="宋体"/>
          <w:color w:val="auto"/>
          <w:kern w:val="2"/>
          <w:sz w:val="21"/>
          <w:szCs w:val="21"/>
          <w:highlight w:val="none"/>
        </w:rPr>
      </w:pPr>
      <w:r>
        <w:rPr>
          <w:rFonts w:hint="eastAsia" w:hAnsi="宋体"/>
          <w:color w:val="auto"/>
          <w:kern w:val="2"/>
          <w:sz w:val="21"/>
          <w:szCs w:val="21"/>
          <w:highlight w:val="none"/>
        </w:rPr>
        <w:t>（七）我方作为法律、财务和运作上独立于采购人、采购代理机构的供应商，在此保证所提交的所有文件和全部说明是真实的和正确的。</w:t>
      </w:r>
    </w:p>
    <w:p>
      <w:pPr>
        <w:spacing w:line="360" w:lineRule="auto"/>
        <w:ind w:firstLine="420"/>
        <w:jc w:val="both"/>
        <w:rPr>
          <w:rFonts w:hAnsi="宋体"/>
          <w:color w:val="auto"/>
          <w:kern w:val="2"/>
          <w:sz w:val="21"/>
          <w:szCs w:val="21"/>
          <w:highlight w:val="none"/>
        </w:rPr>
      </w:pPr>
      <w:r>
        <w:rPr>
          <w:rFonts w:hint="eastAsia" w:hAnsi="宋体"/>
          <w:color w:val="auto"/>
          <w:kern w:val="2"/>
          <w:sz w:val="21"/>
          <w:szCs w:val="21"/>
          <w:highlight w:val="none"/>
        </w:rPr>
        <w:t>（八）我方投标报价已包含应向知识产权所有权人支付的所有相关税费，并保证采购人在中国使用我方提供的货物时，如有第三方提出侵犯其知识产权主张的，责任由我方承担。</w:t>
      </w:r>
    </w:p>
    <w:p>
      <w:pPr>
        <w:spacing w:line="360" w:lineRule="auto"/>
        <w:ind w:firstLine="420"/>
        <w:jc w:val="both"/>
        <w:rPr>
          <w:rFonts w:hAnsi="宋体"/>
          <w:color w:val="auto"/>
          <w:kern w:val="2"/>
          <w:sz w:val="21"/>
          <w:szCs w:val="21"/>
          <w:highlight w:val="none"/>
        </w:rPr>
      </w:pPr>
      <w:r>
        <w:rPr>
          <w:rFonts w:hint="eastAsia" w:hAnsi="宋体"/>
          <w:color w:val="auto"/>
          <w:kern w:val="2"/>
          <w:sz w:val="21"/>
          <w:szCs w:val="21"/>
          <w:highlight w:val="none"/>
        </w:rPr>
        <w:t>（九）我方接受采购人委托向贵方支付代理服务费，项目总报价已包含代理服务费，如果被确定为成交供应商，承诺向贵方足额支付。（若采购人支付代理服务费，则此条不适用）</w:t>
      </w:r>
    </w:p>
    <w:p>
      <w:pPr>
        <w:spacing w:line="360" w:lineRule="auto"/>
        <w:ind w:firstLine="420"/>
        <w:jc w:val="both"/>
        <w:rPr>
          <w:rFonts w:hAnsi="宋体"/>
          <w:color w:val="auto"/>
          <w:kern w:val="2"/>
          <w:sz w:val="21"/>
          <w:szCs w:val="21"/>
          <w:highlight w:val="none"/>
        </w:rPr>
      </w:pPr>
      <w:r>
        <w:rPr>
          <w:rFonts w:hint="eastAsia" w:hAnsi="宋体"/>
          <w:color w:val="auto"/>
          <w:kern w:val="2"/>
          <w:sz w:val="21"/>
          <w:szCs w:val="21"/>
          <w:highlight w:val="none"/>
        </w:rPr>
        <w:t>（十）我方与其他供应商不存在单位负责人为同一人或者存在直接控股、管理关系。</w:t>
      </w:r>
    </w:p>
    <w:p>
      <w:pPr>
        <w:spacing w:line="360" w:lineRule="auto"/>
        <w:ind w:firstLine="420"/>
        <w:jc w:val="both"/>
        <w:rPr>
          <w:rFonts w:hAnsi="宋体"/>
          <w:color w:val="auto"/>
          <w:kern w:val="2"/>
          <w:sz w:val="21"/>
          <w:szCs w:val="21"/>
          <w:highlight w:val="none"/>
        </w:rPr>
      </w:pPr>
      <w:r>
        <w:rPr>
          <w:rFonts w:hint="eastAsia" w:hAnsi="宋体"/>
          <w:color w:val="auto"/>
          <w:kern w:val="2"/>
          <w:sz w:val="21"/>
          <w:szCs w:val="21"/>
          <w:highlight w:val="none"/>
        </w:rPr>
        <w:t>（十一）我方承诺未为本项目提供整体设计、规范编制或者项目管理、监理、检测等服务。</w:t>
      </w:r>
    </w:p>
    <w:p>
      <w:pPr>
        <w:spacing w:line="360" w:lineRule="auto"/>
        <w:ind w:firstLine="420"/>
        <w:jc w:val="both"/>
        <w:rPr>
          <w:rFonts w:hAnsi="宋体"/>
          <w:color w:val="auto"/>
          <w:kern w:val="2"/>
          <w:sz w:val="21"/>
          <w:szCs w:val="21"/>
          <w:highlight w:val="none"/>
        </w:rPr>
      </w:pPr>
      <w:r>
        <w:rPr>
          <w:rFonts w:hint="eastAsia" w:hAnsi="宋体"/>
          <w:color w:val="auto"/>
          <w:kern w:val="2"/>
          <w:sz w:val="21"/>
          <w:szCs w:val="21"/>
          <w:highlight w:val="none"/>
        </w:rPr>
        <w:t>（十二）我方未被列入法院失信被执行人名单中。</w:t>
      </w:r>
    </w:p>
    <w:p>
      <w:pPr>
        <w:outlineLvl w:val="9"/>
        <w:rPr>
          <w:rFonts w:hAnsi="宋体"/>
          <w:color w:val="auto"/>
          <w:kern w:val="2"/>
          <w:sz w:val="21"/>
          <w:szCs w:val="21"/>
          <w:highlight w:val="none"/>
        </w:rPr>
      </w:pPr>
      <w:r>
        <w:rPr>
          <w:rFonts w:hint="eastAsia" w:hAnsi="宋体"/>
          <w:color w:val="auto"/>
          <w:kern w:val="2"/>
          <w:sz w:val="21"/>
          <w:szCs w:val="21"/>
          <w:highlight w:val="none"/>
        </w:rPr>
        <w:t xml:space="preserve">    （十三） 我方承诺遵守《中华人民共和国劳动合同法》有关规定和《中华人民共和国妇女权益保障法》中关于“劳动和社会保障权益”的有关要求。</w:t>
      </w:r>
    </w:p>
    <w:p>
      <w:pPr>
        <w:spacing w:line="360" w:lineRule="auto"/>
        <w:ind w:firstLine="420"/>
        <w:jc w:val="both"/>
        <w:rPr>
          <w:rFonts w:hAnsi="宋体"/>
          <w:color w:val="auto"/>
          <w:kern w:val="2"/>
          <w:sz w:val="21"/>
          <w:szCs w:val="21"/>
          <w:highlight w:val="none"/>
        </w:rPr>
      </w:pPr>
      <w:r>
        <w:rPr>
          <w:rFonts w:hint="eastAsia" w:hAnsi="宋体"/>
          <w:color w:val="auto"/>
          <w:kern w:val="2"/>
          <w:sz w:val="21"/>
          <w:szCs w:val="21"/>
          <w:highlight w:val="none"/>
        </w:rPr>
        <w:t>（十四）我方具备《中华人民共和国政府采购法》第二十二条规定的条件，承诺如下：</w:t>
      </w:r>
    </w:p>
    <w:p>
      <w:pPr>
        <w:spacing w:line="360" w:lineRule="auto"/>
        <w:ind w:firstLine="420"/>
        <w:jc w:val="both"/>
        <w:rPr>
          <w:rFonts w:hAnsi="宋体"/>
          <w:color w:val="auto"/>
          <w:kern w:val="2"/>
          <w:sz w:val="21"/>
          <w:szCs w:val="21"/>
          <w:highlight w:val="none"/>
        </w:rPr>
      </w:pPr>
      <w:r>
        <w:rPr>
          <w:rFonts w:hint="eastAsia" w:hAnsi="宋体"/>
          <w:color w:val="auto"/>
          <w:kern w:val="2"/>
          <w:sz w:val="21"/>
          <w:szCs w:val="21"/>
          <w:highlight w:val="none"/>
        </w:rPr>
        <w:t>（1）我方参加本项目政府采购活动前3年内在经营活动中没有以下违法记录，或因违法经营被禁止参加政府采购活动的期限已届满：因违法经营受到刑事处罚或者责令停产停业、吊销许可证或者执照、较大数额罚款等行政处罚。</w:t>
      </w:r>
    </w:p>
    <w:p>
      <w:pPr>
        <w:spacing w:line="360" w:lineRule="auto"/>
        <w:ind w:firstLine="420"/>
        <w:jc w:val="both"/>
        <w:rPr>
          <w:rFonts w:hAnsi="宋体"/>
          <w:color w:val="auto"/>
          <w:kern w:val="2"/>
          <w:sz w:val="21"/>
          <w:szCs w:val="21"/>
          <w:highlight w:val="none"/>
        </w:rPr>
      </w:pPr>
      <w:r>
        <w:rPr>
          <w:rFonts w:hint="eastAsia" w:hAnsi="宋体"/>
          <w:color w:val="auto"/>
          <w:kern w:val="2"/>
          <w:sz w:val="21"/>
          <w:szCs w:val="21"/>
          <w:highlight w:val="none"/>
        </w:rPr>
        <w:t>（</w:t>
      </w:r>
      <w:r>
        <w:rPr>
          <w:rFonts w:hAnsi="宋体"/>
          <w:color w:val="auto"/>
          <w:kern w:val="2"/>
          <w:sz w:val="21"/>
          <w:szCs w:val="21"/>
          <w:highlight w:val="none"/>
        </w:rPr>
        <w:t>2</w:t>
      </w:r>
      <w:r>
        <w:rPr>
          <w:rFonts w:hint="eastAsia" w:hAnsi="宋体"/>
          <w:color w:val="auto"/>
          <w:kern w:val="2"/>
          <w:sz w:val="21"/>
          <w:szCs w:val="21"/>
          <w:highlight w:val="none"/>
        </w:rPr>
        <w:t>）我方符合法律、行政法规规定的其他条件。</w:t>
      </w:r>
    </w:p>
    <w:p>
      <w:pPr>
        <w:spacing w:line="360" w:lineRule="auto"/>
        <w:ind w:firstLine="420"/>
        <w:jc w:val="both"/>
        <w:rPr>
          <w:rFonts w:hAnsi="宋体"/>
          <w:color w:val="auto"/>
          <w:kern w:val="2"/>
          <w:sz w:val="21"/>
          <w:szCs w:val="21"/>
          <w:highlight w:val="none"/>
        </w:rPr>
      </w:pPr>
      <w:r>
        <w:rPr>
          <w:rFonts w:hint="eastAsia" w:hAnsi="宋体"/>
          <w:color w:val="auto"/>
          <w:kern w:val="2"/>
          <w:sz w:val="21"/>
          <w:szCs w:val="21"/>
          <w:highlight w:val="none"/>
        </w:rPr>
        <w:t>以上内容如有虚假或与事实不符的，磋商小组可将我方做无效投标处理，我方愿意承担相应的法律责任。</w:t>
      </w:r>
    </w:p>
    <w:p>
      <w:pPr>
        <w:spacing w:line="360" w:lineRule="auto"/>
        <w:ind w:firstLine="420"/>
        <w:jc w:val="both"/>
        <w:rPr>
          <w:rFonts w:hAnsi="宋体"/>
          <w:color w:val="auto"/>
          <w:kern w:val="2"/>
          <w:sz w:val="21"/>
          <w:szCs w:val="21"/>
          <w:highlight w:val="none"/>
        </w:rPr>
      </w:pPr>
      <w:r>
        <w:rPr>
          <w:rFonts w:hint="eastAsia" w:hAnsi="宋体"/>
          <w:color w:val="auto"/>
          <w:kern w:val="2"/>
          <w:sz w:val="21"/>
          <w:szCs w:val="21"/>
          <w:highlight w:val="none"/>
        </w:rPr>
        <w:t>（十五）我方对在本函及响应文件中所作的所有承诺承担法律责任。</w:t>
      </w:r>
    </w:p>
    <w:p>
      <w:pPr>
        <w:spacing w:line="360" w:lineRule="auto"/>
        <w:ind w:firstLine="420"/>
        <w:jc w:val="both"/>
        <w:rPr>
          <w:rFonts w:hAnsi="宋体"/>
          <w:color w:val="auto"/>
          <w:kern w:val="2"/>
          <w:sz w:val="21"/>
          <w:szCs w:val="21"/>
          <w:highlight w:val="none"/>
        </w:rPr>
      </w:pPr>
      <w:r>
        <w:rPr>
          <w:rFonts w:hint="eastAsia" w:hAnsi="宋体"/>
          <w:color w:val="auto"/>
          <w:kern w:val="2"/>
          <w:sz w:val="21"/>
          <w:szCs w:val="21"/>
          <w:highlight w:val="none"/>
        </w:rPr>
        <w:t>（十六）所有与本磋商有关的函件请发往下列地址：</w:t>
      </w:r>
    </w:p>
    <w:p>
      <w:pPr>
        <w:spacing w:line="360" w:lineRule="auto"/>
        <w:jc w:val="both"/>
        <w:rPr>
          <w:rFonts w:hAnsi="宋体"/>
          <w:color w:val="auto"/>
          <w:kern w:val="2"/>
          <w:sz w:val="21"/>
          <w:szCs w:val="21"/>
          <w:highlight w:val="none"/>
          <w:u w:val="single"/>
          <w:lang w:val="zh-CN"/>
        </w:rPr>
      </w:pPr>
      <w:r>
        <w:rPr>
          <w:rFonts w:hint="eastAsia" w:hAnsi="宋体"/>
          <w:color w:val="auto"/>
          <w:kern w:val="2"/>
          <w:sz w:val="21"/>
          <w:szCs w:val="21"/>
          <w:highlight w:val="none"/>
          <w:lang w:val="zh-CN"/>
        </w:rPr>
        <w:t>地</w:t>
      </w:r>
      <w:r>
        <w:rPr>
          <w:rFonts w:hAnsi="宋体"/>
          <w:color w:val="auto"/>
          <w:kern w:val="2"/>
          <w:sz w:val="21"/>
          <w:szCs w:val="21"/>
          <w:highlight w:val="none"/>
          <w:lang w:val="zh-CN"/>
        </w:rPr>
        <w:t xml:space="preserve">  </w:t>
      </w:r>
      <w:r>
        <w:rPr>
          <w:rFonts w:hint="eastAsia" w:hAnsi="宋体"/>
          <w:color w:val="auto"/>
          <w:kern w:val="2"/>
          <w:sz w:val="21"/>
          <w:szCs w:val="21"/>
          <w:highlight w:val="none"/>
          <w:lang w:val="zh-CN"/>
        </w:rPr>
        <w:t>　址：</w:t>
      </w:r>
      <w:r>
        <w:rPr>
          <w:rFonts w:hint="eastAsia" w:hAnsi="宋体"/>
          <w:color w:val="auto"/>
          <w:kern w:val="2"/>
          <w:sz w:val="21"/>
          <w:szCs w:val="21"/>
          <w:highlight w:val="none"/>
          <w:u w:val="single"/>
          <w:lang w:val="zh-CN"/>
        </w:rPr>
        <w:t>　　　　　　　　　　　</w:t>
      </w:r>
      <w:r>
        <w:rPr>
          <w:rFonts w:hAnsi="宋体"/>
          <w:color w:val="auto"/>
          <w:kern w:val="2"/>
          <w:sz w:val="21"/>
          <w:szCs w:val="21"/>
          <w:highlight w:val="none"/>
          <w:lang w:val="zh-CN"/>
        </w:rPr>
        <w:tab/>
      </w:r>
      <w:r>
        <w:rPr>
          <w:rFonts w:hAnsi="宋体"/>
          <w:color w:val="auto"/>
          <w:kern w:val="2"/>
          <w:sz w:val="21"/>
          <w:szCs w:val="21"/>
          <w:highlight w:val="none"/>
          <w:lang w:val="zh-CN"/>
        </w:rPr>
        <w:tab/>
      </w:r>
      <w:r>
        <w:rPr>
          <w:rFonts w:hint="eastAsia" w:hAnsi="宋体"/>
          <w:color w:val="auto"/>
          <w:kern w:val="2"/>
          <w:sz w:val="21"/>
          <w:szCs w:val="21"/>
          <w:highlight w:val="none"/>
          <w:lang w:val="zh-CN"/>
        </w:rPr>
        <w:t>邮政编码：</w:t>
      </w:r>
      <w:r>
        <w:rPr>
          <w:rFonts w:hint="eastAsia" w:hAnsi="宋体"/>
          <w:color w:val="auto"/>
          <w:kern w:val="2"/>
          <w:sz w:val="21"/>
          <w:szCs w:val="21"/>
          <w:highlight w:val="none"/>
          <w:u w:val="single"/>
          <w:lang w:val="zh-CN"/>
        </w:rPr>
        <w:t xml:space="preserve">　　　　　　　　　　 </w:t>
      </w:r>
    </w:p>
    <w:p>
      <w:pPr>
        <w:spacing w:line="360" w:lineRule="auto"/>
        <w:jc w:val="both"/>
        <w:rPr>
          <w:rFonts w:hAnsi="宋体"/>
          <w:color w:val="auto"/>
          <w:kern w:val="2"/>
          <w:sz w:val="21"/>
          <w:szCs w:val="21"/>
          <w:highlight w:val="none"/>
          <w:lang w:val="zh-CN"/>
        </w:rPr>
      </w:pPr>
      <w:r>
        <w:rPr>
          <w:rFonts w:hint="eastAsia" w:hAnsi="宋体"/>
          <w:color w:val="auto"/>
          <w:kern w:val="2"/>
          <w:sz w:val="21"/>
          <w:szCs w:val="21"/>
          <w:highlight w:val="none"/>
          <w:lang w:val="zh-CN"/>
        </w:rPr>
        <w:t>电　　话：</w:t>
      </w:r>
      <w:r>
        <w:rPr>
          <w:rFonts w:hint="eastAsia" w:hAnsi="宋体"/>
          <w:color w:val="auto"/>
          <w:kern w:val="2"/>
          <w:sz w:val="21"/>
          <w:szCs w:val="21"/>
          <w:highlight w:val="none"/>
          <w:u w:val="single"/>
          <w:lang w:val="zh-CN"/>
        </w:rPr>
        <w:t>　　　　　　　　　　　</w:t>
      </w:r>
      <w:r>
        <w:rPr>
          <w:rFonts w:hAnsi="宋体"/>
          <w:color w:val="auto"/>
          <w:kern w:val="2"/>
          <w:sz w:val="21"/>
          <w:szCs w:val="21"/>
          <w:highlight w:val="none"/>
          <w:lang w:val="zh-CN"/>
        </w:rPr>
        <w:tab/>
      </w:r>
      <w:r>
        <w:rPr>
          <w:rFonts w:hAnsi="宋体"/>
          <w:color w:val="auto"/>
          <w:kern w:val="2"/>
          <w:sz w:val="21"/>
          <w:szCs w:val="21"/>
          <w:highlight w:val="none"/>
          <w:lang w:val="zh-CN"/>
        </w:rPr>
        <w:tab/>
      </w:r>
      <w:r>
        <w:rPr>
          <w:rFonts w:hint="eastAsia" w:hAnsi="宋体"/>
          <w:color w:val="auto"/>
          <w:kern w:val="2"/>
          <w:sz w:val="21"/>
          <w:szCs w:val="21"/>
          <w:highlight w:val="none"/>
          <w:lang w:val="zh-CN"/>
        </w:rPr>
        <w:t>传　　真：</w:t>
      </w:r>
      <w:r>
        <w:rPr>
          <w:rFonts w:hint="eastAsia" w:hAnsi="宋体"/>
          <w:color w:val="auto"/>
          <w:kern w:val="2"/>
          <w:sz w:val="21"/>
          <w:szCs w:val="21"/>
          <w:highlight w:val="none"/>
          <w:u w:val="single"/>
          <w:lang w:val="zh-CN"/>
        </w:rPr>
        <w:t xml:space="preserve">　　　　　　　　　　 </w:t>
      </w:r>
    </w:p>
    <w:p>
      <w:pPr>
        <w:spacing w:line="360" w:lineRule="auto"/>
        <w:jc w:val="both"/>
        <w:rPr>
          <w:rFonts w:hAnsi="宋体"/>
          <w:color w:val="auto"/>
          <w:kern w:val="2"/>
          <w:sz w:val="21"/>
          <w:szCs w:val="21"/>
          <w:highlight w:val="none"/>
          <w:lang w:val="zh-CN"/>
        </w:rPr>
      </w:pPr>
      <w:r>
        <w:rPr>
          <w:rFonts w:hint="eastAsia" w:hAnsi="宋体"/>
          <w:color w:val="auto"/>
          <w:kern w:val="2"/>
          <w:sz w:val="21"/>
          <w:szCs w:val="21"/>
          <w:highlight w:val="none"/>
          <w:lang w:val="zh-CN"/>
        </w:rPr>
        <w:t>代表姓名：</w:t>
      </w:r>
      <w:r>
        <w:rPr>
          <w:rFonts w:hint="eastAsia" w:hAnsi="宋体"/>
          <w:color w:val="auto"/>
          <w:kern w:val="2"/>
          <w:sz w:val="21"/>
          <w:szCs w:val="21"/>
          <w:highlight w:val="none"/>
          <w:u w:val="single"/>
          <w:lang w:val="zh-CN"/>
        </w:rPr>
        <w:t>　　　　　　　　　　　</w:t>
      </w:r>
      <w:r>
        <w:rPr>
          <w:rFonts w:hint="eastAsia" w:hAnsi="宋体"/>
          <w:color w:val="auto"/>
          <w:kern w:val="2"/>
          <w:sz w:val="21"/>
          <w:szCs w:val="21"/>
          <w:highlight w:val="none"/>
          <w:lang w:val="zh-CN"/>
        </w:rPr>
        <w:t xml:space="preserve">         职　　务：</w:t>
      </w:r>
      <w:r>
        <w:rPr>
          <w:rFonts w:hint="eastAsia" w:hAnsi="宋体"/>
          <w:color w:val="auto"/>
          <w:kern w:val="2"/>
          <w:sz w:val="21"/>
          <w:szCs w:val="21"/>
          <w:highlight w:val="none"/>
          <w:u w:val="single"/>
          <w:lang w:val="zh-CN"/>
        </w:rPr>
        <w:t xml:space="preserve">　　　　　　　　　　 </w:t>
      </w:r>
    </w:p>
    <w:p>
      <w:pPr>
        <w:snapToGrid w:val="0"/>
        <w:spacing w:line="360" w:lineRule="auto"/>
        <w:rPr>
          <w:rFonts w:hAnsi="宋体"/>
          <w:color w:val="auto"/>
          <w:sz w:val="21"/>
          <w:szCs w:val="21"/>
          <w:highlight w:val="none"/>
        </w:rPr>
      </w:pPr>
      <w:bookmarkStart w:id="98" w:name="_Toc367438808"/>
    </w:p>
    <w:p>
      <w:pPr>
        <w:snapToGrid w:val="0"/>
        <w:spacing w:line="360" w:lineRule="auto"/>
        <w:rPr>
          <w:rFonts w:hAnsi="宋体"/>
          <w:color w:val="auto"/>
          <w:sz w:val="21"/>
          <w:szCs w:val="21"/>
          <w:highlight w:val="none"/>
        </w:rPr>
      </w:pPr>
      <w:r>
        <w:rPr>
          <w:rFonts w:hint="eastAsia" w:hAnsi="宋体"/>
          <w:color w:val="auto"/>
          <w:sz w:val="21"/>
          <w:szCs w:val="21"/>
          <w:highlight w:val="none"/>
        </w:rPr>
        <w:t>供应商法定代表人（或法定代表人授权代表）签字或盖章：</w:t>
      </w:r>
    </w:p>
    <w:p>
      <w:pPr>
        <w:snapToGrid w:val="0"/>
        <w:spacing w:line="360" w:lineRule="auto"/>
        <w:rPr>
          <w:rFonts w:hAnsi="宋体"/>
          <w:color w:val="auto"/>
          <w:sz w:val="21"/>
          <w:szCs w:val="21"/>
          <w:highlight w:val="none"/>
          <w:u w:val="single"/>
        </w:rPr>
      </w:pPr>
      <w:r>
        <w:rPr>
          <w:rFonts w:hint="eastAsia" w:hAnsi="宋体"/>
          <w:color w:val="auto"/>
          <w:sz w:val="21"/>
          <w:szCs w:val="21"/>
          <w:highlight w:val="none"/>
        </w:rPr>
        <w:t>供应商名称（加盖公章）：</w:t>
      </w:r>
    </w:p>
    <w:p>
      <w:pPr>
        <w:snapToGrid w:val="0"/>
        <w:spacing w:line="360" w:lineRule="auto"/>
        <w:rPr>
          <w:rFonts w:hAnsi="宋体"/>
          <w:color w:val="auto"/>
          <w:sz w:val="21"/>
          <w:szCs w:val="21"/>
          <w:highlight w:val="none"/>
        </w:rPr>
      </w:pPr>
      <w:r>
        <w:rPr>
          <w:rFonts w:hint="eastAsia" w:hAnsi="宋体"/>
          <w:color w:val="auto"/>
          <w:sz w:val="21"/>
          <w:szCs w:val="21"/>
          <w:highlight w:val="none"/>
        </w:rPr>
        <w:t>日期：</w:t>
      </w:r>
    </w:p>
    <w:bookmarkEnd w:id="98"/>
    <w:p>
      <w:pPr>
        <w:pStyle w:val="4"/>
        <w:numPr>
          <w:ilvl w:val="0"/>
          <w:numId w:val="28"/>
        </w:numPr>
        <w:spacing w:line="360" w:lineRule="auto"/>
        <w:jc w:val="center"/>
        <w:rPr>
          <w:rFonts w:hAnsi="宋体"/>
          <w:b/>
          <w:color w:val="auto"/>
          <w:highlight w:val="none"/>
        </w:rPr>
      </w:pPr>
      <w:r>
        <w:rPr>
          <w:rFonts w:hAnsi="宋体"/>
          <w:b/>
          <w:color w:val="auto"/>
          <w:highlight w:val="none"/>
        </w:rPr>
        <w:br w:type="page"/>
      </w:r>
      <w:bookmarkStart w:id="99" w:name="_Toc27653"/>
      <w:r>
        <w:rPr>
          <w:rFonts w:hint="eastAsia" w:hAnsi="宋体"/>
          <w:b/>
          <w:color w:val="auto"/>
          <w:highlight w:val="none"/>
          <w:lang w:eastAsia="zh-CN"/>
        </w:rPr>
        <w:t>首次报价表</w:t>
      </w:r>
      <w:r>
        <w:rPr>
          <w:rFonts w:hint="eastAsia" w:hAnsi="宋体"/>
          <w:b/>
          <w:color w:val="auto"/>
          <w:highlight w:val="none"/>
        </w:rPr>
        <w:t>（开标一览表）</w:t>
      </w:r>
      <w:bookmarkEnd w:id="99"/>
    </w:p>
    <w:p>
      <w:pPr>
        <w:pStyle w:val="26"/>
        <w:spacing w:line="360" w:lineRule="auto"/>
        <w:rPr>
          <w:rFonts w:hAnsi="宋体"/>
          <w:color w:val="auto"/>
          <w:szCs w:val="21"/>
          <w:highlight w:val="none"/>
        </w:rPr>
      </w:pPr>
      <w:r>
        <w:rPr>
          <w:rFonts w:hint="eastAsia" w:hAnsi="宋体"/>
          <w:color w:val="auto"/>
          <w:szCs w:val="21"/>
          <w:highlight w:val="none"/>
        </w:rPr>
        <w:t>采购项目编号：</w:t>
      </w:r>
    </w:p>
    <w:p>
      <w:pPr>
        <w:pStyle w:val="26"/>
        <w:spacing w:line="360" w:lineRule="auto"/>
        <w:rPr>
          <w:rFonts w:hAnsi="宋体"/>
          <w:color w:val="auto"/>
          <w:szCs w:val="21"/>
          <w:highlight w:val="none"/>
        </w:rPr>
      </w:pPr>
      <w:r>
        <w:rPr>
          <w:rFonts w:hint="eastAsia" w:hAnsi="宋体"/>
          <w:color w:val="auto"/>
          <w:szCs w:val="21"/>
          <w:highlight w:val="none"/>
        </w:rPr>
        <w:t>项目名称：</w:t>
      </w:r>
    </w:p>
    <w:p>
      <w:pPr>
        <w:pStyle w:val="26"/>
        <w:spacing w:line="360" w:lineRule="auto"/>
        <w:jc w:val="left"/>
        <w:rPr>
          <w:rFonts w:hAnsi="宋体"/>
          <w:color w:val="auto"/>
          <w:highlight w:val="none"/>
        </w:rPr>
      </w:pPr>
      <w:r>
        <w:rPr>
          <w:color w:val="auto"/>
          <w:highlight w:val="none"/>
        </w:rPr>
        <w:t>响应</w:t>
      </w:r>
      <w:r>
        <w:rPr>
          <w:rFonts w:hint="eastAsia" w:hAnsi="宋体"/>
          <w:color w:val="auto"/>
          <w:szCs w:val="21"/>
          <w:highlight w:val="none"/>
        </w:rPr>
        <w:t>供应商名称：</w:t>
      </w:r>
    </w:p>
    <w:tbl>
      <w:tblPr>
        <w:tblStyle w:val="48"/>
        <w:tblW w:w="4996" w:type="pct"/>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autofit"/>
        <w:tblCellMar>
          <w:top w:w="0" w:type="dxa"/>
          <w:left w:w="108" w:type="dxa"/>
          <w:bottom w:w="0" w:type="dxa"/>
          <w:right w:w="108" w:type="dxa"/>
        </w:tblCellMar>
      </w:tblPr>
      <w:tblGrid>
        <w:gridCol w:w="1140"/>
        <w:gridCol w:w="2298"/>
        <w:gridCol w:w="4684"/>
        <w:gridCol w:w="1114"/>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24" w:hRule="atLeast"/>
          <w:jc w:val="center"/>
        </w:trPr>
        <w:tc>
          <w:tcPr>
            <w:tcW w:w="617" w:type="pct"/>
            <w:tcBorders>
              <w:top w:val="single" w:color="auto" w:sz="4" w:space="0"/>
              <w:left w:val="single" w:color="auto" w:sz="4" w:space="0"/>
              <w:bottom w:val="single" w:color="auto" w:sz="4" w:space="0"/>
              <w:right w:val="single" w:color="auto" w:sz="4" w:space="0"/>
            </w:tcBorders>
            <w:vAlign w:val="center"/>
          </w:tcPr>
          <w:p>
            <w:pPr>
              <w:spacing w:line="440" w:lineRule="exact"/>
              <w:jc w:val="center"/>
              <w:rPr>
                <w:rFonts w:hAnsi="宋体"/>
                <w:color w:val="auto"/>
                <w:sz w:val="21"/>
                <w:szCs w:val="21"/>
                <w:highlight w:val="none"/>
                <w:lang w:val="zh-CN"/>
              </w:rPr>
            </w:pPr>
            <w:r>
              <w:rPr>
                <w:rFonts w:hint="eastAsia" w:hAnsi="宋体"/>
                <w:color w:val="auto"/>
                <w:sz w:val="21"/>
                <w:szCs w:val="21"/>
                <w:highlight w:val="none"/>
                <w:lang w:val="zh-CN"/>
              </w:rPr>
              <w:t>序号</w:t>
            </w:r>
          </w:p>
        </w:tc>
        <w:tc>
          <w:tcPr>
            <w:tcW w:w="1244" w:type="pct"/>
            <w:tcBorders>
              <w:top w:val="single" w:color="auto" w:sz="4" w:space="0"/>
              <w:left w:val="single" w:color="auto" w:sz="4" w:space="0"/>
              <w:bottom w:val="single" w:color="auto" w:sz="4" w:space="0"/>
              <w:right w:val="single" w:color="auto" w:sz="4" w:space="0"/>
            </w:tcBorders>
            <w:vAlign w:val="center"/>
          </w:tcPr>
          <w:p>
            <w:pPr>
              <w:spacing w:line="440" w:lineRule="exact"/>
              <w:jc w:val="center"/>
              <w:rPr>
                <w:rFonts w:hAnsi="宋体"/>
                <w:color w:val="auto"/>
                <w:sz w:val="21"/>
                <w:szCs w:val="21"/>
                <w:highlight w:val="none"/>
                <w:lang w:val="zh-CN"/>
              </w:rPr>
            </w:pPr>
            <w:r>
              <w:rPr>
                <w:rFonts w:hint="eastAsia" w:hAnsi="宋体"/>
                <w:color w:val="auto"/>
                <w:sz w:val="21"/>
                <w:szCs w:val="21"/>
                <w:highlight w:val="none"/>
                <w:lang w:val="zh-CN"/>
              </w:rPr>
              <w:t>采购项目名称</w:t>
            </w:r>
          </w:p>
        </w:tc>
        <w:tc>
          <w:tcPr>
            <w:tcW w:w="2535" w:type="pct"/>
            <w:tcBorders>
              <w:top w:val="single" w:color="auto" w:sz="4" w:space="0"/>
              <w:left w:val="single" w:color="auto" w:sz="4" w:space="0"/>
              <w:bottom w:val="single" w:color="auto" w:sz="4" w:space="0"/>
              <w:right w:val="single" w:color="auto" w:sz="4" w:space="0"/>
            </w:tcBorders>
            <w:vAlign w:val="center"/>
          </w:tcPr>
          <w:p>
            <w:pPr>
              <w:spacing w:line="440" w:lineRule="exact"/>
              <w:jc w:val="center"/>
              <w:rPr>
                <w:rFonts w:hAnsi="宋体"/>
                <w:color w:val="auto"/>
                <w:sz w:val="21"/>
                <w:szCs w:val="21"/>
                <w:highlight w:val="none"/>
                <w:lang w:val="zh-CN"/>
              </w:rPr>
            </w:pPr>
            <w:r>
              <w:rPr>
                <w:rFonts w:hint="eastAsia" w:hAnsi="宋体"/>
                <w:color w:val="auto"/>
                <w:sz w:val="21"/>
                <w:szCs w:val="21"/>
                <w:highlight w:val="none"/>
                <w:lang w:val="zh-CN"/>
              </w:rPr>
              <w:t>投标首次报价</w:t>
            </w:r>
          </w:p>
        </w:tc>
        <w:tc>
          <w:tcPr>
            <w:tcW w:w="603" w:type="pct"/>
            <w:tcBorders>
              <w:top w:val="single" w:color="auto" w:sz="4" w:space="0"/>
              <w:left w:val="single" w:color="auto" w:sz="4" w:space="0"/>
              <w:bottom w:val="single" w:color="auto" w:sz="4" w:space="0"/>
              <w:right w:val="single" w:color="auto" w:sz="4" w:space="0"/>
            </w:tcBorders>
            <w:vAlign w:val="center"/>
          </w:tcPr>
          <w:p>
            <w:pPr>
              <w:spacing w:line="440" w:lineRule="exact"/>
              <w:jc w:val="center"/>
              <w:rPr>
                <w:rFonts w:hAnsi="宋体"/>
                <w:color w:val="auto"/>
                <w:sz w:val="21"/>
                <w:szCs w:val="21"/>
                <w:highlight w:val="none"/>
              </w:rPr>
            </w:pPr>
            <w:r>
              <w:rPr>
                <w:rFonts w:hint="eastAsia" w:hAnsi="宋体"/>
                <w:color w:val="auto"/>
                <w:sz w:val="21"/>
                <w:szCs w:val="21"/>
                <w:highlight w:val="none"/>
              </w:rPr>
              <w:t>备注</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584" w:hRule="atLeast"/>
          <w:jc w:val="center"/>
        </w:trPr>
        <w:tc>
          <w:tcPr>
            <w:tcW w:w="617" w:type="pct"/>
            <w:tcBorders>
              <w:top w:val="single" w:color="auto" w:sz="4" w:space="0"/>
              <w:left w:val="single" w:color="auto" w:sz="4" w:space="0"/>
              <w:bottom w:val="single" w:color="auto" w:sz="4" w:space="0"/>
              <w:right w:val="single" w:color="auto" w:sz="4" w:space="0"/>
            </w:tcBorders>
            <w:vAlign w:val="center"/>
          </w:tcPr>
          <w:p>
            <w:pPr>
              <w:spacing w:line="440" w:lineRule="exact"/>
              <w:jc w:val="center"/>
              <w:rPr>
                <w:rFonts w:hAnsi="宋体"/>
                <w:color w:val="auto"/>
                <w:sz w:val="21"/>
                <w:szCs w:val="21"/>
                <w:highlight w:val="none"/>
                <w:lang w:val="zh-CN"/>
              </w:rPr>
            </w:pPr>
            <w:r>
              <w:rPr>
                <w:rFonts w:hint="eastAsia" w:hAnsi="宋体"/>
                <w:color w:val="auto"/>
                <w:sz w:val="21"/>
                <w:szCs w:val="21"/>
                <w:highlight w:val="none"/>
                <w:lang w:val="zh-CN"/>
              </w:rPr>
              <w:t>1</w:t>
            </w:r>
          </w:p>
        </w:tc>
        <w:tc>
          <w:tcPr>
            <w:tcW w:w="1244" w:type="pct"/>
            <w:tcBorders>
              <w:top w:val="single" w:color="auto" w:sz="4" w:space="0"/>
              <w:left w:val="single" w:color="auto" w:sz="4" w:space="0"/>
              <w:bottom w:val="single" w:color="auto" w:sz="4" w:space="0"/>
              <w:right w:val="single" w:color="auto" w:sz="4" w:space="0"/>
            </w:tcBorders>
            <w:vAlign w:val="center"/>
          </w:tcPr>
          <w:p>
            <w:pPr>
              <w:spacing w:line="440" w:lineRule="exact"/>
              <w:jc w:val="center"/>
              <w:rPr>
                <w:rFonts w:hAnsi="宋体"/>
                <w:color w:val="auto"/>
                <w:sz w:val="21"/>
                <w:szCs w:val="21"/>
                <w:highlight w:val="none"/>
                <w:lang w:val="zh-CN"/>
              </w:rPr>
            </w:pPr>
          </w:p>
        </w:tc>
        <w:tc>
          <w:tcPr>
            <w:tcW w:w="2535" w:type="pct"/>
            <w:tcBorders>
              <w:top w:val="single" w:color="auto" w:sz="4" w:space="0"/>
              <w:left w:val="single" w:color="auto" w:sz="4" w:space="0"/>
              <w:bottom w:val="single" w:color="auto" w:sz="4" w:space="0"/>
              <w:right w:val="single" w:color="auto" w:sz="4" w:space="0"/>
            </w:tcBorders>
            <w:vAlign w:val="center"/>
          </w:tcPr>
          <w:p>
            <w:pPr>
              <w:spacing w:line="440" w:lineRule="exact"/>
              <w:rPr>
                <w:rFonts w:hAnsi="宋体"/>
                <w:color w:val="auto"/>
                <w:sz w:val="21"/>
                <w:szCs w:val="21"/>
                <w:highlight w:val="none"/>
              </w:rPr>
            </w:pPr>
            <w:r>
              <w:rPr>
                <w:rFonts w:hint="eastAsia" w:hAnsi="宋体"/>
                <w:color w:val="auto"/>
                <w:sz w:val="21"/>
                <w:szCs w:val="21"/>
                <w:highlight w:val="none"/>
              </w:rPr>
              <w:t>总价：</w:t>
            </w:r>
          </w:p>
          <w:p>
            <w:pPr>
              <w:spacing w:line="440" w:lineRule="exact"/>
              <w:rPr>
                <w:rFonts w:hAnsi="宋体"/>
                <w:color w:val="auto"/>
                <w:sz w:val="21"/>
                <w:szCs w:val="21"/>
                <w:highlight w:val="none"/>
              </w:rPr>
            </w:pPr>
            <w:r>
              <w:rPr>
                <w:rFonts w:hint="eastAsia" w:hAnsi="宋体"/>
                <w:color w:val="auto"/>
                <w:sz w:val="21"/>
                <w:szCs w:val="21"/>
                <w:highlight w:val="none"/>
              </w:rPr>
              <w:t>大写：</w:t>
            </w:r>
            <w:r>
              <w:rPr>
                <w:rFonts w:hint="eastAsia" w:hAnsi="宋体"/>
                <w:color w:val="auto"/>
                <w:sz w:val="21"/>
                <w:szCs w:val="21"/>
                <w:highlight w:val="none"/>
                <w:lang w:val="en-US" w:eastAsia="zh-CN"/>
              </w:rPr>
              <w:t>人民币</w:t>
            </w:r>
            <w:r>
              <w:rPr>
                <w:rFonts w:hint="eastAsia" w:hAnsi="宋体"/>
                <w:color w:val="auto"/>
                <w:sz w:val="21"/>
                <w:szCs w:val="21"/>
                <w:highlight w:val="none"/>
                <w:u w:val="single"/>
              </w:rPr>
              <w:t xml:space="preserve">                                   </w:t>
            </w:r>
          </w:p>
          <w:p>
            <w:pPr>
              <w:spacing w:line="440" w:lineRule="exact"/>
              <w:rPr>
                <w:rFonts w:hAnsi="宋体" w:cs="宋体"/>
                <w:color w:val="auto"/>
                <w:sz w:val="21"/>
                <w:szCs w:val="21"/>
                <w:highlight w:val="none"/>
              </w:rPr>
            </w:pPr>
            <w:r>
              <w:rPr>
                <w:rFonts w:hint="eastAsia" w:hAnsi="宋体"/>
                <w:color w:val="auto"/>
                <w:sz w:val="21"/>
                <w:szCs w:val="21"/>
                <w:highlight w:val="none"/>
              </w:rPr>
              <w:t>小写：￥</w:t>
            </w:r>
            <w:r>
              <w:rPr>
                <w:rFonts w:hint="eastAsia" w:hAnsi="宋体"/>
                <w:color w:val="auto"/>
                <w:sz w:val="21"/>
                <w:szCs w:val="21"/>
                <w:highlight w:val="none"/>
                <w:u w:val="single"/>
              </w:rPr>
              <w:t xml:space="preserve">                                 </w:t>
            </w:r>
          </w:p>
        </w:tc>
        <w:tc>
          <w:tcPr>
            <w:tcW w:w="603" w:type="pct"/>
            <w:tcBorders>
              <w:top w:val="single" w:color="auto" w:sz="4" w:space="0"/>
              <w:left w:val="single" w:color="auto" w:sz="4" w:space="0"/>
              <w:bottom w:val="single" w:color="auto" w:sz="4" w:space="0"/>
              <w:right w:val="single" w:color="auto" w:sz="4" w:space="0"/>
            </w:tcBorders>
            <w:vAlign w:val="center"/>
          </w:tcPr>
          <w:p>
            <w:pPr>
              <w:spacing w:line="440" w:lineRule="exact"/>
              <w:jc w:val="center"/>
              <w:rPr>
                <w:rFonts w:hAnsi="宋体"/>
                <w:color w:val="auto"/>
                <w:sz w:val="21"/>
                <w:szCs w:val="21"/>
                <w:highlight w:val="none"/>
                <w:lang w:val="zh-CN"/>
              </w:rPr>
            </w:pPr>
          </w:p>
        </w:tc>
      </w:tr>
    </w:tbl>
    <w:p>
      <w:pPr>
        <w:pStyle w:val="26"/>
        <w:spacing w:line="360" w:lineRule="auto"/>
        <w:rPr>
          <w:rFonts w:hAnsi="宋体"/>
          <w:color w:val="auto"/>
          <w:highlight w:val="none"/>
        </w:rPr>
      </w:pPr>
    </w:p>
    <w:p>
      <w:pPr>
        <w:spacing w:line="360" w:lineRule="auto"/>
        <w:ind w:left="2" w:leftChars="1"/>
        <w:jc w:val="both"/>
        <w:rPr>
          <w:rFonts w:hAnsi="宋体"/>
          <w:color w:val="auto"/>
          <w:kern w:val="2"/>
          <w:sz w:val="21"/>
          <w:highlight w:val="none"/>
          <w:lang w:val="zh-CN"/>
        </w:rPr>
      </w:pPr>
      <w:r>
        <w:rPr>
          <w:rFonts w:hint="eastAsia" w:hAnsi="宋体"/>
          <w:color w:val="auto"/>
          <w:kern w:val="2"/>
          <w:sz w:val="21"/>
          <w:highlight w:val="none"/>
          <w:lang w:val="zh-CN"/>
        </w:rPr>
        <w:t>注：</w:t>
      </w:r>
    </w:p>
    <w:p>
      <w:pPr>
        <w:pStyle w:val="26"/>
        <w:numPr>
          <w:ilvl w:val="0"/>
          <w:numId w:val="29"/>
        </w:numPr>
        <w:spacing w:line="360" w:lineRule="auto"/>
        <w:rPr>
          <w:rFonts w:hAnsi="宋体"/>
          <w:color w:val="auto"/>
          <w:highlight w:val="none"/>
        </w:rPr>
      </w:pPr>
      <w:r>
        <w:rPr>
          <w:rFonts w:hint="eastAsia" w:hAnsi="宋体"/>
          <w:color w:val="auto"/>
          <w:highlight w:val="none"/>
        </w:rPr>
        <w:t>此表的投标总报价是所有需采购人支付的本次采购标的金额总数即</w:t>
      </w:r>
      <w:r>
        <w:rPr>
          <w:rFonts w:hint="eastAsia" w:hAnsi="宋体"/>
          <w:b/>
          <w:color w:val="auto"/>
          <w:highlight w:val="none"/>
        </w:rPr>
        <w:t>投标总报价</w:t>
      </w:r>
      <w:r>
        <w:rPr>
          <w:rFonts w:hint="eastAsia" w:hAnsi="宋体"/>
          <w:color w:val="auto"/>
          <w:highlight w:val="none"/>
        </w:rPr>
        <w:t>。</w:t>
      </w:r>
    </w:p>
    <w:p>
      <w:pPr>
        <w:pStyle w:val="26"/>
        <w:numPr>
          <w:ilvl w:val="0"/>
          <w:numId w:val="29"/>
        </w:numPr>
        <w:spacing w:line="360" w:lineRule="auto"/>
        <w:rPr>
          <w:rFonts w:hAnsi="宋体"/>
          <w:color w:val="auto"/>
          <w:highlight w:val="none"/>
        </w:rPr>
      </w:pPr>
      <w:r>
        <w:rPr>
          <w:rFonts w:hint="eastAsia" w:hAnsi="宋体"/>
          <w:color w:val="auto"/>
          <w:highlight w:val="none"/>
        </w:rPr>
        <w:t>投标报价结果以人民币元为单位，保留到小数点后两位。</w:t>
      </w:r>
    </w:p>
    <w:p>
      <w:pPr>
        <w:snapToGrid w:val="0"/>
        <w:spacing w:line="360" w:lineRule="auto"/>
        <w:rPr>
          <w:rFonts w:hAnsi="宋体"/>
          <w:bCs/>
          <w:color w:val="auto"/>
          <w:kern w:val="2"/>
          <w:sz w:val="21"/>
          <w:szCs w:val="21"/>
          <w:highlight w:val="none"/>
        </w:rPr>
      </w:pPr>
    </w:p>
    <w:p>
      <w:pPr>
        <w:snapToGrid w:val="0"/>
        <w:spacing w:line="360" w:lineRule="auto"/>
        <w:rPr>
          <w:rFonts w:hAnsi="宋体"/>
          <w:bCs/>
          <w:color w:val="auto"/>
          <w:kern w:val="2"/>
          <w:sz w:val="21"/>
          <w:szCs w:val="21"/>
          <w:highlight w:val="none"/>
        </w:rPr>
      </w:pPr>
    </w:p>
    <w:p>
      <w:pPr>
        <w:snapToGrid w:val="0"/>
        <w:spacing w:line="360" w:lineRule="auto"/>
        <w:rPr>
          <w:rFonts w:hAnsi="宋体"/>
          <w:color w:val="auto"/>
          <w:sz w:val="21"/>
          <w:szCs w:val="21"/>
          <w:highlight w:val="none"/>
        </w:rPr>
      </w:pPr>
      <w:r>
        <w:rPr>
          <w:rFonts w:hint="eastAsia" w:hAnsi="宋体"/>
          <w:color w:val="auto"/>
          <w:sz w:val="21"/>
          <w:szCs w:val="21"/>
          <w:highlight w:val="none"/>
        </w:rPr>
        <w:t>供应商法定代表人（或法定代表人授权代表）签字或盖章：</w:t>
      </w:r>
    </w:p>
    <w:p>
      <w:pPr>
        <w:snapToGrid w:val="0"/>
        <w:spacing w:line="360" w:lineRule="auto"/>
        <w:rPr>
          <w:rFonts w:hAnsi="宋体"/>
          <w:color w:val="auto"/>
          <w:sz w:val="21"/>
          <w:szCs w:val="21"/>
          <w:highlight w:val="none"/>
          <w:u w:val="single"/>
        </w:rPr>
      </w:pPr>
      <w:r>
        <w:rPr>
          <w:rFonts w:hint="eastAsia" w:hAnsi="宋体"/>
          <w:color w:val="auto"/>
          <w:sz w:val="21"/>
          <w:szCs w:val="21"/>
          <w:highlight w:val="none"/>
        </w:rPr>
        <w:t>供应商名称（加盖公章）：</w:t>
      </w:r>
    </w:p>
    <w:p>
      <w:pPr>
        <w:snapToGrid w:val="0"/>
        <w:spacing w:line="360" w:lineRule="auto"/>
        <w:rPr>
          <w:rFonts w:hAnsi="宋体"/>
          <w:color w:val="auto"/>
          <w:sz w:val="21"/>
          <w:szCs w:val="21"/>
          <w:highlight w:val="none"/>
        </w:rPr>
      </w:pPr>
      <w:r>
        <w:rPr>
          <w:rFonts w:hint="eastAsia" w:hAnsi="宋体"/>
          <w:color w:val="auto"/>
          <w:sz w:val="21"/>
          <w:szCs w:val="21"/>
          <w:highlight w:val="none"/>
        </w:rPr>
        <w:t>日期：</w:t>
      </w:r>
      <w:bookmarkStart w:id="100" w:name="_Toc367438833"/>
    </w:p>
    <w:p>
      <w:pPr>
        <w:snapToGrid w:val="0"/>
        <w:spacing w:line="360" w:lineRule="auto"/>
        <w:rPr>
          <w:rFonts w:hAnsi="宋体"/>
          <w:color w:val="auto"/>
          <w:sz w:val="21"/>
          <w:szCs w:val="21"/>
          <w:highlight w:val="none"/>
        </w:rPr>
      </w:pPr>
    </w:p>
    <w:bookmarkEnd w:id="100"/>
    <w:p>
      <w:pPr>
        <w:pStyle w:val="4"/>
        <w:pageBreakBefore/>
        <w:numPr>
          <w:ilvl w:val="0"/>
          <w:numId w:val="28"/>
        </w:numPr>
        <w:spacing w:line="360" w:lineRule="auto"/>
        <w:jc w:val="center"/>
        <w:rPr>
          <w:rFonts w:hAnsi="宋体"/>
          <w:b/>
          <w:color w:val="auto"/>
          <w:highlight w:val="none"/>
        </w:rPr>
      </w:pPr>
      <w:bookmarkStart w:id="101" w:name="_Toc25960"/>
      <w:r>
        <w:rPr>
          <w:rFonts w:hint="eastAsia" w:hAnsi="宋体"/>
          <w:b/>
          <w:bCs/>
          <w:color w:val="auto"/>
          <w:szCs w:val="21"/>
          <w:highlight w:val="none"/>
        </w:rPr>
        <w:t>投标分项报价表</w:t>
      </w:r>
      <w:bookmarkEnd w:id="101"/>
    </w:p>
    <w:p>
      <w:pPr>
        <w:snapToGrid w:val="0"/>
        <w:spacing w:line="360" w:lineRule="auto"/>
        <w:ind w:firstLine="420" w:firstLineChars="200"/>
        <w:rPr>
          <w:rFonts w:hAnsi="宋体"/>
          <w:color w:val="auto"/>
          <w:sz w:val="21"/>
          <w:szCs w:val="21"/>
          <w:highlight w:val="none"/>
        </w:rPr>
      </w:pPr>
    </w:p>
    <w:p>
      <w:pPr>
        <w:snapToGrid w:val="0"/>
        <w:spacing w:line="360" w:lineRule="auto"/>
        <w:rPr>
          <w:rFonts w:hAnsi="宋体"/>
          <w:color w:val="auto"/>
          <w:sz w:val="21"/>
          <w:szCs w:val="21"/>
          <w:highlight w:val="none"/>
        </w:rPr>
      </w:pPr>
      <w:r>
        <w:rPr>
          <w:rFonts w:hint="eastAsia" w:hAnsi="宋体"/>
          <w:color w:val="auto"/>
          <w:sz w:val="21"/>
          <w:szCs w:val="21"/>
          <w:highlight w:val="none"/>
        </w:rPr>
        <w:t>供应商根据采购需求书编写。</w:t>
      </w:r>
    </w:p>
    <w:p>
      <w:pPr>
        <w:pStyle w:val="26"/>
        <w:spacing w:line="360" w:lineRule="auto"/>
        <w:rPr>
          <w:rFonts w:hAnsi="宋体"/>
          <w:color w:val="auto"/>
          <w:szCs w:val="21"/>
          <w:highlight w:val="none"/>
        </w:rPr>
      </w:pPr>
    </w:p>
    <w:p>
      <w:pPr>
        <w:pStyle w:val="26"/>
        <w:spacing w:line="360" w:lineRule="auto"/>
        <w:rPr>
          <w:rFonts w:hAnsi="宋体"/>
          <w:color w:val="auto"/>
          <w:szCs w:val="21"/>
          <w:highlight w:val="none"/>
        </w:rPr>
      </w:pPr>
    </w:p>
    <w:p>
      <w:pPr>
        <w:pStyle w:val="26"/>
        <w:spacing w:line="360" w:lineRule="auto"/>
        <w:rPr>
          <w:rFonts w:hAnsi="宋体"/>
          <w:color w:val="auto"/>
          <w:szCs w:val="21"/>
          <w:highlight w:val="none"/>
        </w:rPr>
      </w:pPr>
    </w:p>
    <w:p>
      <w:pPr>
        <w:spacing w:line="360" w:lineRule="auto"/>
        <w:rPr>
          <w:rFonts w:hAnsi="宋体"/>
          <w:color w:val="auto"/>
          <w:sz w:val="21"/>
          <w:szCs w:val="21"/>
          <w:highlight w:val="none"/>
        </w:rPr>
      </w:pPr>
    </w:p>
    <w:p>
      <w:pPr>
        <w:snapToGrid w:val="0"/>
        <w:spacing w:line="360" w:lineRule="auto"/>
        <w:rPr>
          <w:rFonts w:hAnsi="宋体"/>
          <w:color w:val="auto"/>
          <w:sz w:val="21"/>
          <w:szCs w:val="21"/>
          <w:highlight w:val="none"/>
        </w:rPr>
      </w:pPr>
    </w:p>
    <w:p>
      <w:pPr>
        <w:snapToGrid w:val="0"/>
        <w:spacing w:line="360" w:lineRule="auto"/>
        <w:rPr>
          <w:rFonts w:hAnsi="宋体"/>
          <w:color w:val="auto"/>
          <w:sz w:val="21"/>
          <w:szCs w:val="21"/>
          <w:highlight w:val="none"/>
        </w:rPr>
      </w:pPr>
    </w:p>
    <w:p>
      <w:pPr>
        <w:pStyle w:val="26"/>
        <w:rPr>
          <w:color w:val="auto"/>
          <w:highlight w:val="none"/>
        </w:rPr>
      </w:pPr>
    </w:p>
    <w:p>
      <w:pPr>
        <w:snapToGrid w:val="0"/>
        <w:spacing w:line="360" w:lineRule="auto"/>
        <w:rPr>
          <w:rFonts w:hAnsi="宋体"/>
          <w:color w:val="auto"/>
          <w:sz w:val="21"/>
          <w:szCs w:val="21"/>
          <w:highlight w:val="none"/>
        </w:rPr>
      </w:pPr>
      <w:r>
        <w:rPr>
          <w:rFonts w:hint="eastAsia" w:hAnsi="宋体"/>
          <w:color w:val="auto"/>
          <w:sz w:val="21"/>
          <w:szCs w:val="21"/>
          <w:highlight w:val="none"/>
        </w:rPr>
        <w:t>供应商法定代表人（或法定代表人授权代表）签字或盖章：</w:t>
      </w:r>
    </w:p>
    <w:p>
      <w:pPr>
        <w:snapToGrid w:val="0"/>
        <w:spacing w:line="360" w:lineRule="auto"/>
        <w:rPr>
          <w:rFonts w:hAnsi="宋体"/>
          <w:color w:val="auto"/>
          <w:sz w:val="21"/>
          <w:szCs w:val="21"/>
          <w:highlight w:val="none"/>
          <w:u w:val="single"/>
        </w:rPr>
      </w:pPr>
      <w:r>
        <w:rPr>
          <w:rFonts w:hint="eastAsia" w:hAnsi="宋体"/>
          <w:color w:val="auto"/>
          <w:sz w:val="21"/>
          <w:szCs w:val="21"/>
          <w:highlight w:val="none"/>
        </w:rPr>
        <w:t>供应商名称（加盖公章）：</w:t>
      </w:r>
    </w:p>
    <w:p>
      <w:pPr>
        <w:snapToGrid w:val="0"/>
        <w:spacing w:line="360" w:lineRule="auto"/>
        <w:rPr>
          <w:rFonts w:hAnsi="宋体"/>
          <w:color w:val="auto"/>
          <w:sz w:val="21"/>
          <w:szCs w:val="21"/>
          <w:highlight w:val="none"/>
        </w:rPr>
      </w:pPr>
      <w:r>
        <w:rPr>
          <w:rFonts w:hint="eastAsia" w:hAnsi="宋体"/>
          <w:color w:val="auto"/>
          <w:sz w:val="21"/>
          <w:szCs w:val="21"/>
          <w:highlight w:val="none"/>
        </w:rPr>
        <w:t xml:space="preserve">日期： </w:t>
      </w:r>
    </w:p>
    <w:p>
      <w:pPr>
        <w:rPr>
          <w:rFonts w:hAnsi="宋体"/>
          <w:color w:val="auto"/>
          <w:highlight w:val="none"/>
        </w:rPr>
      </w:pPr>
    </w:p>
    <w:p>
      <w:pPr>
        <w:rPr>
          <w:rFonts w:hAnsi="宋体"/>
          <w:color w:val="auto"/>
          <w:highlight w:val="none"/>
        </w:rPr>
      </w:pPr>
    </w:p>
    <w:p>
      <w:pPr>
        <w:pStyle w:val="4"/>
        <w:pageBreakBefore/>
        <w:numPr>
          <w:ilvl w:val="0"/>
          <w:numId w:val="28"/>
        </w:numPr>
        <w:spacing w:line="360" w:lineRule="auto"/>
        <w:ind w:left="0" w:leftChars="-59" w:hanging="142" w:hangingChars="59"/>
        <w:jc w:val="center"/>
        <w:rPr>
          <w:rFonts w:hAnsi="宋体"/>
          <w:b/>
          <w:color w:val="auto"/>
          <w:highlight w:val="none"/>
        </w:rPr>
      </w:pPr>
      <w:bookmarkStart w:id="102" w:name="_Toc27687"/>
      <w:bookmarkStart w:id="103" w:name="_Toc426536220"/>
      <w:bookmarkStart w:id="104" w:name="_Toc425771043"/>
      <w:bookmarkStart w:id="105" w:name="_Hlk12541057"/>
      <w:r>
        <w:rPr>
          <w:rFonts w:hint="eastAsia" w:hAnsi="宋体"/>
          <w:b/>
          <w:color w:val="auto"/>
          <w:highlight w:val="none"/>
        </w:rPr>
        <w:t>政策适用性说明</w:t>
      </w:r>
      <w:bookmarkEnd w:id="102"/>
      <w:bookmarkEnd w:id="103"/>
      <w:bookmarkEnd w:id="104"/>
    </w:p>
    <w:p>
      <w:pPr>
        <w:tabs>
          <w:tab w:val="left" w:pos="465"/>
          <w:tab w:val="left" w:pos="780"/>
        </w:tabs>
        <w:spacing w:line="360" w:lineRule="auto"/>
        <w:ind w:firstLine="420" w:firstLineChars="200"/>
        <w:rPr>
          <w:rFonts w:hAnsi="宋体"/>
          <w:color w:val="auto"/>
          <w:sz w:val="21"/>
          <w:szCs w:val="21"/>
          <w:highlight w:val="none"/>
          <w:lang w:val="en-GB"/>
        </w:rPr>
      </w:pPr>
      <w:r>
        <w:rPr>
          <w:rFonts w:hint="eastAsia" w:hAnsi="宋体"/>
          <w:color w:val="auto"/>
          <w:sz w:val="21"/>
          <w:szCs w:val="21"/>
          <w:highlight w:val="none"/>
        </w:rPr>
        <w:t>按照政府采购有关政策的要求，在本次的技术方案中，采用符合政策的小型或微型企业产品、节能产品、环保标志产品，主要产品与核心技术介绍说明如下：</w:t>
      </w:r>
    </w:p>
    <w:tbl>
      <w:tblPr>
        <w:tblStyle w:val="48"/>
        <w:tblW w:w="5000" w:type="pct"/>
        <w:tblInd w:w="-5" w:type="dxa"/>
        <w:tblLayout w:type="autofit"/>
        <w:tblCellMar>
          <w:top w:w="0" w:type="dxa"/>
          <w:left w:w="0" w:type="dxa"/>
          <w:bottom w:w="0" w:type="dxa"/>
          <w:right w:w="0" w:type="dxa"/>
        </w:tblCellMar>
      </w:tblPr>
      <w:tblGrid>
        <w:gridCol w:w="531"/>
        <w:gridCol w:w="1721"/>
        <w:gridCol w:w="687"/>
        <w:gridCol w:w="1249"/>
        <w:gridCol w:w="849"/>
        <w:gridCol w:w="989"/>
        <w:gridCol w:w="989"/>
        <w:gridCol w:w="2022"/>
      </w:tblGrid>
      <w:tr>
        <w:tblPrEx>
          <w:tblCellMar>
            <w:top w:w="0" w:type="dxa"/>
            <w:left w:w="0" w:type="dxa"/>
            <w:bottom w:w="0" w:type="dxa"/>
            <w:right w:w="0" w:type="dxa"/>
          </w:tblCellMar>
        </w:tblPrEx>
        <w:trPr>
          <w:trHeight w:val="1276" w:hRule="exact"/>
        </w:trPr>
        <w:tc>
          <w:tcPr>
            <w:tcW w:w="294"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r>
              <w:rPr>
                <w:rFonts w:hint="eastAsia" w:hAnsi="宋体"/>
                <w:color w:val="auto"/>
                <w:sz w:val="21"/>
                <w:szCs w:val="21"/>
                <w:highlight w:val="none"/>
                <w:lang w:val="zh-CN"/>
              </w:rPr>
              <w:t>序号</w:t>
            </w:r>
          </w:p>
        </w:tc>
        <w:tc>
          <w:tcPr>
            <w:tcW w:w="952"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r>
              <w:rPr>
                <w:rFonts w:hint="eastAsia" w:hAnsi="宋体"/>
                <w:color w:val="auto"/>
                <w:sz w:val="21"/>
                <w:szCs w:val="21"/>
                <w:highlight w:val="none"/>
                <w:lang w:val="zh-CN"/>
              </w:rPr>
              <w:t>主要产品</w:t>
            </w:r>
            <w:r>
              <w:rPr>
                <w:rFonts w:hAnsi="宋体"/>
                <w:color w:val="auto"/>
                <w:sz w:val="21"/>
                <w:szCs w:val="21"/>
                <w:highlight w:val="none"/>
                <w:lang w:val="zh-CN"/>
              </w:rPr>
              <w:t>/</w:t>
            </w:r>
            <w:r>
              <w:rPr>
                <w:rFonts w:hint="eastAsia" w:hAnsi="宋体"/>
                <w:color w:val="auto"/>
                <w:sz w:val="21"/>
                <w:szCs w:val="21"/>
                <w:highlight w:val="none"/>
                <w:lang w:val="zh-CN"/>
              </w:rPr>
              <w:t>技术名称（规格型号</w:t>
            </w:r>
          </w:p>
          <w:p>
            <w:pPr>
              <w:spacing w:line="360" w:lineRule="auto"/>
              <w:jc w:val="center"/>
              <w:rPr>
                <w:rFonts w:hAnsi="宋体"/>
                <w:color w:val="auto"/>
                <w:sz w:val="21"/>
                <w:szCs w:val="21"/>
                <w:highlight w:val="none"/>
                <w:lang w:val="zh-CN"/>
              </w:rPr>
            </w:pPr>
            <w:r>
              <w:rPr>
                <w:rFonts w:hint="eastAsia" w:hAnsi="宋体"/>
                <w:color w:val="auto"/>
                <w:sz w:val="21"/>
                <w:szCs w:val="21"/>
                <w:highlight w:val="none"/>
                <w:lang w:val="zh-CN"/>
              </w:rPr>
              <w:t>、注册商标）</w:t>
            </w:r>
          </w:p>
        </w:tc>
        <w:tc>
          <w:tcPr>
            <w:tcW w:w="380"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r>
              <w:rPr>
                <w:rFonts w:hint="eastAsia" w:hAnsi="宋体"/>
                <w:color w:val="auto"/>
                <w:sz w:val="21"/>
                <w:szCs w:val="21"/>
                <w:highlight w:val="none"/>
                <w:lang w:val="zh-CN"/>
              </w:rPr>
              <w:t>制造商</w:t>
            </w:r>
            <w:r>
              <w:rPr>
                <w:rFonts w:hAnsi="宋体"/>
                <w:color w:val="auto"/>
                <w:sz w:val="21"/>
                <w:szCs w:val="21"/>
                <w:highlight w:val="none"/>
                <w:lang w:val="zh-CN"/>
              </w:rPr>
              <w:t>(</w:t>
            </w:r>
            <w:r>
              <w:rPr>
                <w:rFonts w:hint="eastAsia" w:hAnsi="宋体"/>
                <w:color w:val="auto"/>
                <w:sz w:val="21"/>
                <w:szCs w:val="21"/>
                <w:highlight w:val="none"/>
                <w:lang w:val="zh-CN"/>
              </w:rPr>
              <w:t>开</w:t>
            </w:r>
          </w:p>
          <w:p>
            <w:pPr>
              <w:spacing w:line="360" w:lineRule="auto"/>
              <w:jc w:val="center"/>
              <w:rPr>
                <w:rFonts w:hAnsi="宋体"/>
                <w:color w:val="auto"/>
                <w:sz w:val="21"/>
                <w:szCs w:val="21"/>
                <w:highlight w:val="none"/>
                <w:lang w:val="zh-CN"/>
              </w:rPr>
            </w:pPr>
            <w:r>
              <w:rPr>
                <w:rFonts w:hint="eastAsia" w:hAnsi="宋体"/>
                <w:color w:val="auto"/>
                <w:sz w:val="21"/>
                <w:szCs w:val="21"/>
                <w:highlight w:val="none"/>
                <w:lang w:val="zh-CN"/>
              </w:rPr>
              <w:t>发商</w:t>
            </w:r>
            <w:r>
              <w:rPr>
                <w:rFonts w:hAnsi="宋体"/>
                <w:color w:val="auto"/>
                <w:sz w:val="21"/>
                <w:szCs w:val="21"/>
                <w:highlight w:val="none"/>
                <w:lang w:val="zh-CN"/>
              </w:rPr>
              <w:t>)</w:t>
            </w:r>
          </w:p>
        </w:tc>
        <w:tc>
          <w:tcPr>
            <w:tcW w:w="691"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r>
              <w:rPr>
                <w:rFonts w:hint="eastAsia" w:hAnsi="宋体"/>
                <w:color w:val="auto"/>
                <w:sz w:val="21"/>
                <w:szCs w:val="21"/>
                <w:highlight w:val="none"/>
                <w:lang w:val="zh-CN"/>
              </w:rPr>
              <w:t>制造商企业类型</w:t>
            </w:r>
          </w:p>
        </w:tc>
        <w:tc>
          <w:tcPr>
            <w:tcW w:w="470"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r>
              <w:rPr>
                <w:rFonts w:hint="eastAsia" w:hAnsi="宋体"/>
                <w:color w:val="auto"/>
                <w:sz w:val="21"/>
                <w:szCs w:val="21"/>
                <w:highlight w:val="none"/>
                <w:lang w:val="zh-CN"/>
              </w:rPr>
              <w:t>节能产品</w:t>
            </w:r>
          </w:p>
        </w:tc>
        <w:tc>
          <w:tcPr>
            <w:tcW w:w="547"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r>
              <w:rPr>
                <w:rFonts w:hint="eastAsia" w:hAnsi="宋体"/>
                <w:color w:val="auto"/>
                <w:sz w:val="21"/>
                <w:szCs w:val="21"/>
                <w:highlight w:val="none"/>
                <w:lang w:val="zh-CN"/>
              </w:rPr>
              <w:t>环保标志产品</w:t>
            </w:r>
          </w:p>
        </w:tc>
        <w:tc>
          <w:tcPr>
            <w:tcW w:w="547"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r>
              <w:rPr>
                <w:rFonts w:hint="eastAsia" w:hAnsi="宋体"/>
                <w:color w:val="auto"/>
                <w:sz w:val="21"/>
                <w:szCs w:val="21"/>
                <w:highlight w:val="none"/>
                <w:lang w:val="zh-CN"/>
              </w:rPr>
              <w:t>认证证书编号</w:t>
            </w:r>
          </w:p>
        </w:tc>
        <w:tc>
          <w:tcPr>
            <w:tcW w:w="1119"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r>
              <w:rPr>
                <w:rFonts w:hint="eastAsia" w:hAnsi="宋体"/>
                <w:color w:val="auto"/>
                <w:sz w:val="21"/>
                <w:szCs w:val="21"/>
                <w:highlight w:val="none"/>
                <w:lang w:val="zh-CN"/>
              </w:rPr>
              <w:t>该产品报价在总报价中占比（</w:t>
            </w:r>
            <w:r>
              <w:rPr>
                <w:rFonts w:hAnsi="宋体"/>
                <w:color w:val="auto"/>
                <w:sz w:val="21"/>
                <w:szCs w:val="21"/>
                <w:highlight w:val="none"/>
                <w:lang w:val="zh-CN"/>
              </w:rPr>
              <w:t>%</w:t>
            </w:r>
            <w:r>
              <w:rPr>
                <w:rFonts w:hint="eastAsia" w:hAnsi="宋体"/>
                <w:color w:val="auto"/>
                <w:sz w:val="21"/>
                <w:szCs w:val="21"/>
                <w:highlight w:val="none"/>
                <w:lang w:val="zh-CN"/>
              </w:rPr>
              <w:t>）</w:t>
            </w:r>
          </w:p>
        </w:tc>
      </w:tr>
      <w:tr>
        <w:tblPrEx>
          <w:tblCellMar>
            <w:top w:w="0" w:type="dxa"/>
            <w:left w:w="0" w:type="dxa"/>
            <w:bottom w:w="0" w:type="dxa"/>
            <w:right w:w="0" w:type="dxa"/>
          </w:tblCellMar>
        </w:tblPrEx>
        <w:trPr>
          <w:trHeight w:val="396" w:hRule="exact"/>
        </w:trPr>
        <w:tc>
          <w:tcPr>
            <w:tcW w:w="294"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r>
              <w:rPr>
                <w:rFonts w:hAnsi="宋体"/>
                <w:color w:val="auto"/>
                <w:sz w:val="21"/>
                <w:szCs w:val="21"/>
                <w:highlight w:val="none"/>
                <w:lang w:val="zh-CN"/>
              </w:rPr>
              <w:t>1</w:t>
            </w:r>
          </w:p>
        </w:tc>
        <w:tc>
          <w:tcPr>
            <w:tcW w:w="952"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380"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691"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470"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547"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547"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1119"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r>
      <w:tr>
        <w:tblPrEx>
          <w:tblCellMar>
            <w:top w:w="0" w:type="dxa"/>
            <w:left w:w="0" w:type="dxa"/>
            <w:bottom w:w="0" w:type="dxa"/>
            <w:right w:w="0" w:type="dxa"/>
          </w:tblCellMar>
        </w:tblPrEx>
        <w:trPr>
          <w:trHeight w:val="396" w:hRule="exact"/>
        </w:trPr>
        <w:tc>
          <w:tcPr>
            <w:tcW w:w="294"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r>
              <w:rPr>
                <w:rFonts w:hAnsi="宋体"/>
                <w:color w:val="auto"/>
                <w:sz w:val="21"/>
                <w:szCs w:val="21"/>
                <w:highlight w:val="none"/>
                <w:lang w:val="zh-CN"/>
              </w:rPr>
              <w:t>2</w:t>
            </w:r>
          </w:p>
        </w:tc>
        <w:tc>
          <w:tcPr>
            <w:tcW w:w="952"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380"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691"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470"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547"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547"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1119"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r>
      <w:tr>
        <w:tblPrEx>
          <w:tblCellMar>
            <w:top w:w="0" w:type="dxa"/>
            <w:left w:w="0" w:type="dxa"/>
            <w:bottom w:w="0" w:type="dxa"/>
            <w:right w:w="0" w:type="dxa"/>
          </w:tblCellMar>
        </w:tblPrEx>
        <w:trPr>
          <w:trHeight w:val="396" w:hRule="exact"/>
        </w:trPr>
        <w:tc>
          <w:tcPr>
            <w:tcW w:w="294"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r>
              <w:rPr>
                <w:rFonts w:hAnsi="宋体"/>
                <w:color w:val="auto"/>
                <w:sz w:val="21"/>
                <w:szCs w:val="21"/>
                <w:highlight w:val="none"/>
                <w:lang w:val="zh-CN"/>
              </w:rPr>
              <w:t>3</w:t>
            </w:r>
          </w:p>
        </w:tc>
        <w:tc>
          <w:tcPr>
            <w:tcW w:w="952"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380"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691"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470"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547"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547"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1119"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r>
      <w:tr>
        <w:tblPrEx>
          <w:tblCellMar>
            <w:top w:w="0" w:type="dxa"/>
            <w:left w:w="0" w:type="dxa"/>
            <w:bottom w:w="0" w:type="dxa"/>
            <w:right w:w="0" w:type="dxa"/>
          </w:tblCellMar>
        </w:tblPrEx>
        <w:trPr>
          <w:trHeight w:val="396" w:hRule="exact"/>
        </w:trPr>
        <w:tc>
          <w:tcPr>
            <w:tcW w:w="294"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r>
              <w:rPr>
                <w:rFonts w:hAnsi="宋体"/>
                <w:color w:val="auto"/>
                <w:sz w:val="21"/>
                <w:szCs w:val="21"/>
                <w:highlight w:val="none"/>
                <w:lang w:val="zh-CN"/>
              </w:rPr>
              <w:t>4</w:t>
            </w:r>
          </w:p>
        </w:tc>
        <w:tc>
          <w:tcPr>
            <w:tcW w:w="952"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380"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691"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470"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547"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547"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1119"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r>
      <w:tr>
        <w:tblPrEx>
          <w:tblCellMar>
            <w:top w:w="0" w:type="dxa"/>
            <w:left w:w="0" w:type="dxa"/>
            <w:bottom w:w="0" w:type="dxa"/>
            <w:right w:w="0" w:type="dxa"/>
          </w:tblCellMar>
        </w:tblPrEx>
        <w:trPr>
          <w:trHeight w:val="396" w:hRule="exact"/>
        </w:trPr>
        <w:tc>
          <w:tcPr>
            <w:tcW w:w="294"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r>
              <w:rPr>
                <w:rFonts w:hAnsi="宋体"/>
                <w:color w:val="auto"/>
                <w:sz w:val="21"/>
                <w:szCs w:val="21"/>
                <w:highlight w:val="none"/>
                <w:lang w:val="zh-CN"/>
              </w:rPr>
              <w:t>5</w:t>
            </w:r>
          </w:p>
        </w:tc>
        <w:tc>
          <w:tcPr>
            <w:tcW w:w="952"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380"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691"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470"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547"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547"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1119"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r>
      <w:tr>
        <w:tblPrEx>
          <w:tblCellMar>
            <w:top w:w="0" w:type="dxa"/>
            <w:left w:w="0" w:type="dxa"/>
            <w:bottom w:w="0" w:type="dxa"/>
            <w:right w:w="0" w:type="dxa"/>
          </w:tblCellMar>
        </w:tblPrEx>
        <w:trPr>
          <w:trHeight w:val="396" w:hRule="exact"/>
        </w:trPr>
        <w:tc>
          <w:tcPr>
            <w:tcW w:w="294"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r>
              <w:rPr>
                <w:rFonts w:hAnsi="宋体"/>
                <w:color w:val="auto"/>
                <w:sz w:val="21"/>
                <w:szCs w:val="21"/>
                <w:highlight w:val="none"/>
                <w:lang w:val="zh-CN"/>
              </w:rPr>
              <w:t>...</w:t>
            </w:r>
          </w:p>
        </w:tc>
        <w:tc>
          <w:tcPr>
            <w:tcW w:w="952"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380"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691"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470"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547"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547"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c>
          <w:tcPr>
            <w:tcW w:w="1119" w:type="pct"/>
            <w:tcBorders>
              <w:top w:val="single" w:color="000000" w:sz="4" w:space="0"/>
              <w:left w:val="single" w:color="000000" w:sz="4" w:space="0"/>
              <w:bottom w:val="single" w:color="000000" w:sz="4" w:space="0"/>
              <w:right w:val="single" w:color="000000" w:sz="4" w:space="0"/>
            </w:tcBorders>
            <w:vAlign w:val="center"/>
          </w:tcPr>
          <w:p>
            <w:pPr>
              <w:spacing w:line="360" w:lineRule="auto"/>
              <w:jc w:val="center"/>
              <w:rPr>
                <w:rFonts w:hAnsi="宋体"/>
                <w:color w:val="auto"/>
                <w:sz w:val="21"/>
                <w:szCs w:val="21"/>
                <w:highlight w:val="none"/>
                <w:lang w:val="zh-CN"/>
              </w:rPr>
            </w:pPr>
          </w:p>
        </w:tc>
      </w:tr>
    </w:tbl>
    <w:p>
      <w:pPr>
        <w:tabs>
          <w:tab w:val="left" w:pos="780"/>
        </w:tabs>
        <w:spacing w:line="360" w:lineRule="auto"/>
        <w:rPr>
          <w:rFonts w:hAnsi="宋体"/>
          <w:color w:val="auto"/>
          <w:sz w:val="21"/>
          <w:szCs w:val="21"/>
          <w:highlight w:val="none"/>
          <w:lang w:val="en-GB"/>
        </w:rPr>
      </w:pPr>
      <w:r>
        <w:rPr>
          <w:rFonts w:hint="eastAsia" w:hAnsi="宋体"/>
          <w:color w:val="auto"/>
          <w:sz w:val="21"/>
          <w:szCs w:val="21"/>
          <w:highlight w:val="none"/>
          <w:lang w:val="en-GB"/>
        </w:rPr>
        <w:t>注：</w:t>
      </w:r>
    </w:p>
    <w:p>
      <w:pPr>
        <w:tabs>
          <w:tab w:val="left" w:pos="780"/>
        </w:tabs>
        <w:spacing w:line="360" w:lineRule="auto"/>
        <w:rPr>
          <w:rFonts w:hAnsi="宋体"/>
          <w:color w:val="auto"/>
          <w:sz w:val="21"/>
          <w:szCs w:val="21"/>
          <w:highlight w:val="none"/>
          <w:lang w:val="en-GB"/>
        </w:rPr>
      </w:pPr>
      <w:r>
        <w:rPr>
          <w:rFonts w:hint="eastAsia" w:hAnsi="宋体"/>
          <w:color w:val="auto"/>
          <w:sz w:val="21"/>
          <w:szCs w:val="21"/>
          <w:highlight w:val="none"/>
          <w:lang w:val="en-GB"/>
        </w:rPr>
        <w:t>1.制造商为小型或微型企业时才需要填“制造商企业类型”栏,填写内容为“小型”或“微型”；</w:t>
      </w:r>
    </w:p>
    <w:p>
      <w:pPr>
        <w:tabs>
          <w:tab w:val="left" w:pos="780"/>
        </w:tabs>
        <w:spacing w:line="360" w:lineRule="auto"/>
        <w:rPr>
          <w:rFonts w:hAnsi="宋体"/>
          <w:color w:val="auto"/>
          <w:sz w:val="21"/>
          <w:szCs w:val="21"/>
          <w:highlight w:val="none"/>
          <w:lang w:val="en-GB"/>
        </w:rPr>
      </w:pPr>
      <w:r>
        <w:rPr>
          <w:rFonts w:hint="eastAsia" w:hAnsi="宋体"/>
          <w:color w:val="auto"/>
          <w:sz w:val="21"/>
          <w:szCs w:val="21"/>
          <w:highlight w:val="none"/>
          <w:lang w:val="en-GB"/>
        </w:rPr>
        <w:t>2.“节能产品、环保标志产品”须填写认证证书编号，并在对应“节能产品”、“环保标志产品”栏中勾选，同时提供有效期内的证书复印件（加盖供应商公章）</w:t>
      </w:r>
    </w:p>
    <w:p>
      <w:pPr>
        <w:tabs>
          <w:tab w:val="left" w:pos="465"/>
          <w:tab w:val="left" w:pos="780"/>
        </w:tabs>
        <w:spacing w:line="360" w:lineRule="auto"/>
        <w:rPr>
          <w:rFonts w:hAnsi="宋体"/>
          <w:color w:val="auto"/>
          <w:sz w:val="21"/>
          <w:szCs w:val="21"/>
          <w:highlight w:val="none"/>
          <w:lang w:val="en-GB"/>
        </w:rPr>
      </w:pPr>
    </w:p>
    <w:p>
      <w:pPr>
        <w:snapToGrid w:val="0"/>
        <w:spacing w:line="360" w:lineRule="auto"/>
        <w:rPr>
          <w:rFonts w:hAnsi="宋体"/>
          <w:color w:val="auto"/>
          <w:sz w:val="21"/>
          <w:szCs w:val="21"/>
          <w:highlight w:val="none"/>
          <w:u w:val="single"/>
        </w:rPr>
      </w:pPr>
      <w:r>
        <w:rPr>
          <w:rFonts w:hint="eastAsia" w:hAnsi="宋体"/>
          <w:color w:val="auto"/>
          <w:sz w:val="21"/>
          <w:szCs w:val="21"/>
          <w:highlight w:val="none"/>
        </w:rPr>
        <w:t>供应商名称（加盖公章）：</w:t>
      </w:r>
    </w:p>
    <w:p>
      <w:pPr>
        <w:rPr>
          <w:rFonts w:hAnsi="宋体"/>
          <w:color w:val="auto"/>
          <w:sz w:val="21"/>
          <w:szCs w:val="21"/>
          <w:highlight w:val="none"/>
        </w:rPr>
      </w:pPr>
      <w:r>
        <w:rPr>
          <w:rFonts w:hint="eastAsia" w:hAnsi="宋体"/>
          <w:color w:val="auto"/>
          <w:sz w:val="21"/>
          <w:szCs w:val="21"/>
          <w:highlight w:val="none"/>
        </w:rPr>
        <w:t>日期：</w:t>
      </w:r>
    </w:p>
    <w:p>
      <w:pPr>
        <w:rPr>
          <w:rFonts w:hAnsi="宋体"/>
          <w:color w:val="auto"/>
          <w:highlight w:val="none"/>
        </w:rPr>
      </w:pPr>
    </w:p>
    <w:bookmarkEnd w:id="105"/>
    <w:p>
      <w:pPr>
        <w:pStyle w:val="4"/>
        <w:pageBreakBefore/>
        <w:numPr>
          <w:ilvl w:val="0"/>
          <w:numId w:val="28"/>
        </w:numPr>
        <w:spacing w:line="360" w:lineRule="auto"/>
        <w:jc w:val="center"/>
        <w:rPr>
          <w:rFonts w:hAnsi="宋体"/>
          <w:b/>
          <w:color w:val="auto"/>
          <w:highlight w:val="none"/>
        </w:rPr>
      </w:pPr>
      <w:bookmarkStart w:id="106" w:name="_Toc494532281"/>
      <w:bookmarkStart w:id="107" w:name="_Toc612"/>
      <w:bookmarkStart w:id="108" w:name="_Toc10548701"/>
      <w:bookmarkStart w:id="109" w:name="_Toc425347573"/>
      <w:r>
        <w:rPr>
          <w:rFonts w:hint="eastAsia" w:hAnsi="宋体"/>
          <w:b/>
          <w:color w:val="auto"/>
          <w:highlight w:val="none"/>
        </w:rPr>
        <w:t>法定代表人身份证明书</w:t>
      </w:r>
      <w:bookmarkEnd w:id="106"/>
      <w:bookmarkEnd w:id="107"/>
    </w:p>
    <w:p>
      <w:pPr>
        <w:spacing w:line="360" w:lineRule="auto"/>
        <w:rPr>
          <w:rFonts w:hAnsi="宋体"/>
          <w:color w:val="auto"/>
          <w:sz w:val="21"/>
          <w:szCs w:val="21"/>
          <w:highlight w:val="none"/>
        </w:rPr>
      </w:pPr>
      <w:r>
        <w:rPr>
          <w:rFonts w:hint="eastAsia" w:hAnsi="宋体"/>
          <w:color w:val="auto"/>
          <w:sz w:val="21"/>
          <w:szCs w:val="21"/>
          <w:highlight w:val="none"/>
        </w:rPr>
        <w:t>（供应商可使用下述格式，也可使用广东省工商行政管理局统一印制的法定代表人证明书格式）</w:t>
      </w:r>
    </w:p>
    <w:p>
      <w:pPr>
        <w:spacing w:line="360" w:lineRule="auto"/>
        <w:rPr>
          <w:rFonts w:hAnsi="宋体"/>
          <w:b/>
          <w:color w:val="auto"/>
          <w:sz w:val="21"/>
          <w:szCs w:val="21"/>
          <w:highlight w:val="none"/>
        </w:rPr>
      </w:pPr>
    </w:p>
    <w:p>
      <w:pPr>
        <w:spacing w:line="360" w:lineRule="auto"/>
        <w:rPr>
          <w:rFonts w:hAnsi="宋体"/>
          <w:b/>
          <w:color w:val="auto"/>
          <w:sz w:val="21"/>
          <w:szCs w:val="21"/>
          <w:highlight w:val="none"/>
        </w:rPr>
      </w:pPr>
      <w:r>
        <w:rPr>
          <w:rFonts w:hint="eastAsia" w:hAnsi="宋体"/>
          <w:b/>
          <w:color w:val="auto"/>
          <w:sz w:val="21"/>
          <w:szCs w:val="21"/>
          <w:highlight w:val="none"/>
        </w:rPr>
        <w:t>致：广东中科招标有限公司</w:t>
      </w:r>
    </w:p>
    <w:p>
      <w:pPr>
        <w:spacing w:line="360" w:lineRule="auto"/>
        <w:rPr>
          <w:rFonts w:hAnsi="宋体"/>
          <w:color w:val="auto"/>
          <w:sz w:val="21"/>
          <w:szCs w:val="21"/>
          <w:highlight w:val="none"/>
        </w:rPr>
      </w:pPr>
    </w:p>
    <w:p>
      <w:pPr>
        <w:pStyle w:val="71"/>
        <w:spacing w:line="360" w:lineRule="auto"/>
        <w:ind w:firstLine="420" w:firstLineChars="200"/>
        <w:rPr>
          <w:rFonts w:ascii="宋体" w:eastAsia="宋体" w:cs="宋体"/>
          <w:color w:val="auto"/>
          <w:sz w:val="21"/>
          <w:szCs w:val="21"/>
          <w:highlight w:val="none"/>
        </w:rPr>
      </w:pPr>
      <w:r>
        <w:rPr>
          <w:rFonts w:hint="eastAsia" w:ascii="宋体" w:eastAsia="宋体" w:cs="宋体"/>
          <w:color w:val="auto"/>
          <w:sz w:val="21"/>
          <w:szCs w:val="21"/>
          <w:highlight w:val="none"/>
          <w:u w:val="single"/>
        </w:rPr>
        <w:tab/>
      </w:r>
      <w:r>
        <w:rPr>
          <w:rFonts w:hint="eastAsia" w:ascii="宋体" w:eastAsia="宋体" w:cs="宋体"/>
          <w:color w:val="auto"/>
          <w:sz w:val="21"/>
          <w:szCs w:val="21"/>
          <w:highlight w:val="none"/>
          <w:u w:val="single"/>
        </w:rPr>
        <w:t xml:space="preserve">          </w:t>
      </w:r>
      <w:r>
        <w:rPr>
          <w:rFonts w:hint="eastAsia" w:ascii="宋体" w:eastAsia="宋体" w:cs="宋体"/>
          <w:color w:val="auto"/>
          <w:sz w:val="21"/>
          <w:szCs w:val="21"/>
          <w:highlight w:val="none"/>
        </w:rPr>
        <w:t>现任我单位</w:t>
      </w:r>
      <w:r>
        <w:rPr>
          <w:rFonts w:hint="eastAsia" w:ascii="宋体" w:eastAsia="宋体" w:cs="宋体"/>
          <w:color w:val="auto"/>
          <w:sz w:val="21"/>
          <w:szCs w:val="21"/>
          <w:highlight w:val="none"/>
          <w:u w:val="single"/>
        </w:rPr>
        <w:t xml:space="preserve"> </w:t>
      </w:r>
      <w:r>
        <w:rPr>
          <w:rFonts w:hint="eastAsia" w:ascii="宋体" w:eastAsia="宋体" w:cs="宋体"/>
          <w:color w:val="auto"/>
          <w:sz w:val="21"/>
          <w:szCs w:val="21"/>
          <w:highlight w:val="none"/>
          <w:u w:val="single"/>
        </w:rPr>
        <w:tab/>
      </w:r>
      <w:r>
        <w:rPr>
          <w:rFonts w:hint="eastAsia" w:ascii="宋体" w:eastAsia="宋体" w:cs="宋体"/>
          <w:color w:val="auto"/>
          <w:sz w:val="21"/>
          <w:szCs w:val="21"/>
          <w:highlight w:val="none"/>
          <w:u w:val="single"/>
        </w:rPr>
        <w:t xml:space="preserve">        </w:t>
      </w:r>
      <w:r>
        <w:rPr>
          <w:rFonts w:hint="eastAsia" w:ascii="宋体" w:eastAsia="宋体" w:cs="宋体"/>
          <w:color w:val="auto"/>
          <w:sz w:val="21"/>
          <w:szCs w:val="21"/>
          <w:highlight w:val="none"/>
          <w:u w:val="single"/>
        </w:rPr>
        <w:tab/>
      </w:r>
      <w:r>
        <w:rPr>
          <w:rFonts w:hint="eastAsia" w:ascii="宋体" w:eastAsia="宋体" w:cs="宋体"/>
          <w:color w:val="auto"/>
          <w:sz w:val="21"/>
          <w:szCs w:val="21"/>
          <w:highlight w:val="none"/>
        </w:rPr>
        <w:t>职务，为法定代表人，特此证明。</w:t>
      </w:r>
    </w:p>
    <w:p>
      <w:pPr>
        <w:pStyle w:val="71"/>
        <w:spacing w:line="360" w:lineRule="auto"/>
        <w:ind w:firstLine="420" w:firstLineChars="200"/>
        <w:rPr>
          <w:rFonts w:ascii="宋体" w:eastAsia="宋体" w:cs="宋体"/>
          <w:color w:val="auto"/>
          <w:sz w:val="21"/>
          <w:szCs w:val="21"/>
          <w:highlight w:val="none"/>
        </w:rPr>
      </w:pPr>
      <w:r>
        <w:rPr>
          <w:rFonts w:hint="eastAsia" w:ascii="宋体" w:eastAsia="宋体" w:cs="宋体"/>
          <w:color w:val="auto"/>
          <w:sz w:val="21"/>
          <w:szCs w:val="21"/>
          <w:highlight w:val="none"/>
        </w:rPr>
        <w:t>有效期限：</w:t>
      </w:r>
      <w:r>
        <w:rPr>
          <w:rFonts w:hint="eastAsia" w:ascii="宋体" w:eastAsia="宋体" w:cs="宋体"/>
          <w:color w:val="auto"/>
          <w:sz w:val="21"/>
          <w:szCs w:val="21"/>
          <w:highlight w:val="none"/>
          <w:u w:val="single"/>
        </w:rPr>
        <w:t xml:space="preserve"> </w:t>
      </w:r>
      <w:r>
        <w:rPr>
          <w:rFonts w:hint="eastAsia" w:ascii="宋体" w:eastAsia="宋体" w:cs="宋体"/>
          <w:color w:val="auto"/>
          <w:sz w:val="21"/>
          <w:szCs w:val="21"/>
          <w:highlight w:val="none"/>
          <w:u w:val="single"/>
        </w:rPr>
        <w:tab/>
      </w:r>
      <w:r>
        <w:rPr>
          <w:rFonts w:hint="eastAsia" w:ascii="宋体" w:eastAsia="宋体" w:cs="宋体"/>
          <w:color w:val="auto"/>
          <w:sz w:val="21"/>
          <w:szCs w:val="21"/>
          <w:highlight w:val="none"/>
          <w:u w:val="single"/>
        </w:rPr>
        <w:tab/>
      </w:r>
    </w:p>
    <w:p>
      <w:pPr>
        <w:pStyle w:val="71"/>
        <w:spacing w:line="360" w:lineRule="auto"/>
        <w:ind w:firstLine="420" w:firstLineChars="200"/>
        <w:rPr>
          <w:rFonts w:ascii="宋体" w:eastAsia="宋体" w:cs="宋体"/>
          <w:color w:val="auto"/>
          <w:kern w:val="0"/>
          <w:sz w:val="21"/>
          <w:szCs w:val="21"/>
          <w:highlight w:val="none"/>
          <w:u w:val="single"/>
        </w:rPr>
      </w:pPr>
      <w:r>
        <w:rPr>
          <w:rFonts w:hint="eastAsia" w:ascii="宋体" w:eastAsia="宋体" w:cs="宋体"/>
          <w:color w:val="auto"/>
          <w:kern w:val="0"/>
          <w:sz w:val="21"/>
          <w:szCs w:val="21"/>
          <w:highlight w:val="none"/>
        </w:rPr>
        <w:t>附：代表人性别：</w:t>
      </w:r>
      <w:r>
        <w:rPr>
          <w:rFonts w:hint="eastAsia" w:ascii="宋体" w:eastAsia="宋体" w:cs="宋体"/>
          <w:color w:val="auto"/>
          <w:kern w:val="0"/>
          <w:sz w:val="21"/>
          <w:szCs w:val="21"/>
          <w:highlight w:val="none"/>
          <w:u w:val="single"/>
        </w:rPr>
        <w:t xml:space="preserve"> </w:t>
      </w:r>
      <w:r>
        <w:rPr>
          <w:rFonts w:hint="eastAsia" w:ascii="宋体" w:eastAsia="宋体" w:cs="宋体"/>
          <w:color w:val="auto"/>
          <w:kern w:val="0"/>
          <w:sz w:val="21"/>
          <w:szCs w:val="21"/>
          <w:highlight w:val="none"/>
          <w:u w:val="single"/>
        </w:rPr>
        <w:tab/>
      </w:r>
      <w:r>
        <w:rPr>
          <w:rFonts w:hint="eastAsia" w:ascii="宋体" w:eastAsia="宋体" w:cs="宋体"/>
          <w:color w:val="auto"/>
          <w:kern w:val="0"/>
          <w:sz w:val="21"/>
          <w:szCs w:val="21"/>
          <w:highlight w:val="none"/>
          <w:u w:val="single"/>
        </w:rPr>
        <w:t xml:space="preserve">      </w:t>
      </w:r>
      <w:r>
        <w:rPr>
          <w:rFonts w:hint="eastAsia" w:ascii="宋体" w:eastAsia="宋体" w:cs="宋体"/>
          <w:color w:val="auto"/>
          <w:kern w:val="0"/>
          <w:sz w:val="21"/>
          <w:szCs w:val="21"/>
          <w:highlight w:val="none"/>
        </w:rPr>
        <w:t>年龄：</w:t>
      </w:r>
      <w:r>
        <w:rPr>
          <w:rFonts w:hint="eastAsia" w:ascii="宋体" w:eastAsia="宋体" w:cs="宋体"/>
          <w:color w:val="auto"/>
          <w:kern w:val="0"/>
          <w:sz w:val="21"/>
          <w:szCs w:val="21"/>
          <w:highlight w:val="none"/>
          <w:u w:val="single"/>
        </w:rPr>
        <w:t xml:space="preserve"> </w:t>
      </w:r>
      <w:r>
        <w:rPr>
          <w:rFonts w:hint="eastAsia" w:ascii="宋体" w:eastAsia="宋体" w:cs="宋体"/>
          <w:color w:val="auto"/>
          <w:kern w:val="0"/>
          <w:sz w:val="21"/>
          <w:szCs w:val="21"/>
          <w:highlight w:val="none"/>
          <w:u w:val="single"/>
        </w:rPr>
        <w:tab/>
      </w:r>
      <w:r>
        <w:rPr>
          <w:rFonts w:hint="eastAsia" w:ascii="宋体" w:eastAsia="宋体" w:cs="宋体"/>
          <w:color w:val="auto"/>
          <w:kern w:val="0"/>
          <w:sz w:val="21"/>
          <w:szCs w:val="21"/>
          <w:highlight w:val="none"/>
          <w:u w:val="single"/>
        </w:rPr>
        <w:tab/>
      </w:r>
      <w:r>
        <w:rPr>
          <w:rFonts w:hint="eastAsia" w:ascii="宋体" w:eastAsia="宋体" w:cs="宋体"/>
          <w:color w:val="auto"/>
          <w:kern w:val="0"/>
          <w:sz w:val="21"/>
          <w:szCs w:val="21"/>
          <w:highlight w:val="none"/>
          <w:u w:val="single"/>
        </w:rPr>
        <w:t xml:space="preserve">  </w:t>
      </w:r>
      <w:r>
        <w:rPr>
          <w:rFonts w:hint="eastAsia" w:ascii="宋体" w:eastAsia="宋体" w:cs="宋体"/>
          <w:color w:val="auto"/>
          <w:kern w:val="0"/>
          <w:sz w:val="21"/>
          <w:szCs w:val="21"/>
          <w:highlight w:val="none"/>
        </w:rPr>
        <w:t>身份证号码：</w:t>
      </w:r>
      <w:r>
        <w:rPr>
          <w:rFonts w:hint="eastAsia" w:ascii="宋体" w:eastAsia="宋体" w:cs="宋体"/>
          <w:color w:val="auto"/>
          <w:kern w:val="0"/>
          <w:sz w:val="21"/>
          <w:szCs w:val="21"/>
          <w:highlight w:val="none"/>
          <w:u w:val="single"/>
        </w:rPr>
        <w:tab/>
      </w:r>
      <w:r>
        <w:rPr>
          <w:rFonts w:hint="eastAsia" w:ascii="宋体" w:eastAsia="宋体" w:cs="宋体"/>
          <w:color w:val="auto"/>
          <w:kern w:val="0"/>
          <w:sz w:val="21"/>
          <w:szCs w:val="21"/>
          <w:highlight w:val="none"/>
          <w:u w:val="single"/>
        </w:rPr>
        <w:t xml:space="preserve">             </w:t>
      </w:r>
    </w:p>
    <w:p>
      <w:pPr>
        <w:pStyle w:val="71"/>
        <w:spacing w:line="360" w:lineRule="auto"/>
        <w:ind w:firstLine="420" w:firstLineChars="200"/>
        <w:rPr>
          <w:rFonts w:ascii="宋体" w:eastAsia="宋体" w:cs="宋体"/>
          <w:color w:val="auto"/>
          <w:kern w:val="0"/>
          <w:sz w:val="21"/>
          <w:szCs w:val="21"/>
          <w:highlight w:val="none"/>
          <w:u w:val="single"/>
        </w:rPr>
      </w:pPr>
      <w:r>
        <w:rPr>
          <w:rFonts w:hint="eastAsia" w:ascii="宋体" w:eastAsia="宋体" w:cs="宋体"/>
          <w:color w:val="auto"/>
          <w:kern w:val="0"/>
          <w:sz w:val="21"/>
          <w:szCs w:val="21"/>
          <w:highlight w:val="none"/>
        </w:rPr>
        <w:t>注册号码：</w:t>
      </w:r>
      <w:r>
        <w:rPr>
          <w:rFonts w:hint="eastAsia" w:ascii="宋体" w:eastAsia="宋体" w:cs="宋体"/>
          <w:color w:val="auto"/>
          <w:kern w:val="0"/>
          <w:sz w:val="21"/>
          <w:szCs w:val="21"/>
          <w:highlight w:val="none"/>
          <w:u w:val="single"/>
        </w:rPr>
        <w:t xml:space="preserve"> </w:t>
      </w:r>
      <w:r>
        <w:rPr>
          <w:rFonts w:hint="eastAsia" w:ascii="宋体" w:eastAsia="宋体" w:cs="宋体"/>
          <w:color w:val="auto"/>
          <w:kern w:val="0"/>
          <w:sz w:val="21"/>
          <w:szCs w:val="21"/>
          <w:highlight w:val="none"/>
          <w:u w:val="single"/>
        </w:rPr>
        <w:tab/>
      </w:r>
      <w:r>
        <w:rPr>
          <w:rFonts w:hint="eastAsia" w:ascii="宋体" w:eastAsia="宋体" w:cs="宋体"/>
          <w:color w:val="auto"/>
          <w:kern w:val="0"/>
          <w:sz w:val="21"/>
          <w:szCs w:val="21"/>
          <w:highlight w:val="none"/>
          <w:u w:val="single"/>
        </w:rPr>
        <w:tab/>
      </w:r>
      <w:r>
        <w:rPr>
          <w:rFonts w:hint="eastAsia" w:ascii="宋体" w:eastAsia="宋体" w:cs="宋体"/>
          <w:color w:val="auto"/>
          <w:kern w:val="0"/>
          <w:sz w:val="21"/>
          <w:szCs w:val="21"/>
          <w:highlight w:val="none"/>
          <w:u w:val="single"/>
        </w:rPr>
        <w:t xml:space="preserve">   </w:t>
      </w:r>
      <w:r>
        <w:rPr>
          <w:rFonts w:hint="eastAsia" w:ascii="宋体" w:eastAsia="宋体" w:cs="宋体"/>
          <w:color w:val="auto"/>
          <w:kern w:val="0"/>
          <w:sz w:val="21"/>
          <w:szCs w:val="21"/>
          <w:highlight w:val="none"/>
        </w:rPr>
        <w:t>企业类型：</w:t>
      </w:r>
      <w:r>
        <w:rPr>
          <w:rFonts w:hint="eastAsia" w:ascii="宋体" w:eastAsia="宋体" w:cs="宋体"/>
          <w:color w:val="auto"/>
          <w:kern w:val="0"/>
          <w:sz w:val="21"/>
          <w:szCs w:val="21"/>
          <w:highlight w:val="none"/>
          <w:u w:val="single"/>
        </w:rPr>
        <w:tab/>
      </w:r>
      <w:r>
        <w:rPr>
          <w:rFonts w:hint="eastAsia" w:ascii="宋体" w:eastAsia="宋体" w:cs="宋体"/>
          <w:color w:val="auto"/>
          <w:kern w:val="0"/>
          <w:sz w:val="21"/>
          <w:szCs w:val="21"/>
          <w:highlight w:val="none"/>
          <w:u w:val="single"/>
        </w:rPr>
        <w:tab/>
      </w:r>
      <w:r>
        <w:rPr>
          <w:rFonts w:hint="eastAsia" w:ascii="宋体" w:eastAsia="宋体" w:cs="宋体"/>
          <w:color w:val="auto"/>
          <w:kern w:val="0"/>
          <w:sz w:val="21"/>
          <w:szCs w:val="21"/>
          <w:highlight w:val="none"/>
          <w:u w:val="single"/>
        </w:rPr>
        <w:t xml:space="preserve">                                  </w:t>
      </w:r>
    </w:p>
    <w:p>
      <w:pPr>
        <w:pStyle w:val="71"/>
        <w:spacing w:line="360" w:lineRule="auto"/>
        <w:ind w:firstLine="420" w:firstLineChars="200"/>
        <w:rPr>
          <w:rFonts w:ascii="宋体" w:eastAsia="宋体" w:cs="宋体"/>
          <w:color w:val="auto"/>
          <w:kern w:val="0"/>
          <w:sz w:val="21"/>
          <w:szCs w:val="21"/>
          <w:highlight w:val="none"/>
        </w:rPr>
      </w:pPr>
      <w:r>
        <w:rPr>
          <w:rFonts w:hint="eastAsia" w:ascii="宋体" w:eastAsia="宋体" w:cs="宋体"/>
          <w:color w:val="auto"/>
          <w:kern w:val="0"/>
          <w:sz w:val="21"/>
          <w:szCs w:val="21"/>
          <w:highlight w:val="none"/>
        </w:rPr>
        <w:t>经营范围：</w:t>
      </w:r>
      <w:r>
        <w:rPr>
          <w:rFonts w:hint="eastAsia" w:ascii="宋体" w:eastAsia="宋体" w:cs="宋体"/>
          <w:color w:val="auto"/>
          <w:kern w:val="0"/>
          <w:sz w:val="21"/>
          <w:szCs w:val="21"/>
          <w:highlight w:val="none"/>
          <w:u w:val="single"/>
        </w:rPr>
        <w:t xml:space="preserve"> </w:t>
      </w:r>
      <w:r>
        <w:rPr>
          <w:rFonts w:hint="eastAsia" w:ascii="宋体" w:eastAsia="宋体" w:cs="宋体"/>
          <w:color w:val="auto"/>
          <w:kern w:val="0"/>
          <w:sz w:val="21"/>
          <w:szCs w:val="21"/>
          <w:highlight w:val="none"/>
          <w:u w:val="single"/>
        </w:rPr>
        <w:tab/>
      </w:r>
      <w:r>
        <w:rPr>
          <w:rFonts w:hint="eastAsia" w:ascii="宋体" w:eastAsia="宋体" w:cs="宋体"/>
          <w:color w:val="auto"/>
          <w:kern w:val="0"/>
          <w:sz w:val="21"/>
          <w:szCs w:val="21"/>
          <w:highlight w:val="none"/>
          <w:u w:val="single"/>
        </w:rPr>
        <w:tab/>
      </w:r>
      <w:r>
        <w:rPr>
          <w:rFonts w:hint="eastAsia" w:ascii="宋体" w:eastAsia="宋体" w:cs="宋体"/>
          <w:color w:val="auto"/>
          <w:kern w:val="0"/>
          <w:sz w:val="21"/>
          <w:szCs w:val="21"/>
          <w:highlight w:val="none"/>
          <w:u w:val="single"/>
        </w:rPr>
        <w:tab/>
      </w:r>
    </w:p>
    <w:p>
      <w:pPr>
        <w:spacing w:line="360" w:lineRule="auto"/>
        <w:ind w:right="420"/>
        <w:jc w:val="both"/>
        <w:rPr>
          <w:rFonts w:hAnsi="宋体"/>
          <w:color w:val="auto"/>
          <w:sz w:val="21"/>
          <w:szCs w:val="21"/>
          <w:highlight w:val="none"/>
        </w:rPr>
      </w:pPr>
    </w:p>
    <w:p>
      <w:pPr>
        <w:spacing w:line="360" w:lineRule="auto"/>
        <w:ind w:right="420"/>
        <w:jc w:val="both"/>
        <w:rPr>
          <w:rFonts w:hAnsi="宋体"/>
          <w:color w:val="auto"/>
          <w:sz w:val="21"/>
          <w:szCs w:val="21"/>
          <w:highlight w:val="none"/>
        </w:rPr>
      </w:pPr>
    </w:p>
    <w:p>
      <w:pPr>
        <w:spacing w:line="360" w:lineRule="auto"/>
        <w:ind w:right="420" w:rightChars="175"/>
        <w:jc w:val="both"/>
        <w:rPr>
          <w:rFonts w:hAnsi="宋体"/>
          <w:color w:val="auto"/>
          <w:sz w:val="21"/>
          <w:szCs w:val="21"/>
          <w:highlight w:val="none"/>
        </w:rPr>
      </w:pPr>
      <w:r>
        <w:rPr>
          <w:rFonts w:hint="eastAsia" w:hAnsi="宋体"/>
          <w:color w:val="auto"/>
          <w:sz w:val="21"/>
          <w:szCs w:val="21"/>
          <w:highlight w:val="none"/>
        </w:rPr>
        <w:t>供应商名称（盖章）：</w:t>
      </w:r>
    </w:p>
    <w:p>
      <w:pPr>
        <w:spacing w:line="360" w:lineRule="auto"/>
        <w:ind w:right="420" w:rightChars="175"/>
        <w:jc w:val="both"/>
        <w:rPr>
          <w:rFonts w:hAnsi="宋体"/>
          <w:color w:val="auto"/>
          <w:sz w:val="21"/>
          <w:szCs w:val="21"/>
          <w:highlight w:val="none"/>
          <w:u w:val="single"/>
        </w:rPr>
      </w:pPr>
      <w:r>
        <w:rPr>
          <w:rFonts w:hint="eastAsia" w:hAnsi="宋体"/>
          <w:color w:val="auto"/>
          <w:sz w:val="21"/>
          <w:szCs w:val="21"/>
          <w:highlight w:val="none"/>
        </w:rPr>
        <w:t>地址：</w:t>
      </w:r>
    </w:p>
    <w:p>
      <w:pPr>
        <w:spacing w:line="360" w:lineRule="auto"/>
        <w:ind w:right="420" w:rightChars="175"/>
        <w:jc w:val="both"/>
        <w:rPr>
          <w:rFonts w:hAnsi="宋体"/>
          <w:color w:val="auto"/>
          <w:sz w:val="21"/>
          <w:szCs w:val="21"/>
          <w:highlight w:val="none"/>
        </w:rPr>
      </w:pPr>
      <w:r>
        <w:rPr>
          <w:rFonts w:hint="eastAsia" w:hAnsi="宋体"/>
          <w:color w:val="auto"/>
          <w:sz w:val="21"/>
          <w:szCs w:val="21"/>
          <w:highlight w:val="none"/>
        </w:rPr>
        <w:t>法定代表人（签字或盖章）：</w:t>
      </w:r>
    </w:p>
    <w:p>
      <w:pPr>
        <w:spacing w:line="360" w:lineRule="auto"/>
        <w:ind w:right="420" w:rightChars="175"/>
        <w:jc w:val="both"/>
        <w:rPr>
          <w:rFonts w:hAnsi="宋体"/>
          <w:color w:val="auto"/>
          <w:sz w:val="21"/>
          <w:szCs w:val="21"/>
          <w:highlight w:val="none"/>
        </w:rPr>
      </w:pPr>
      <w:r>
        <w:rPr>
          <w:rFonts w:hint="eastAsia" w:hAnsi="宋体"/>
          <w:color w:val="auto"/>
          <w:sz w:val="21"/>
          <w:szCs w:val="21"/>
          <w:highlight w:val="none"/>
        </w:rPr>
        <w:t>职务：</w:t>
      </w:r>
    </w:p>
    <w:p>
      <w:pPr>
        <w:spacing w:line="360" w:lineRule="auto"/>
        <w:ind w:right="420" w:rightChars="175"/>
        <w:jc w:val="both"/>
        <w:rPr>
          <w:rFonts w:hAnsi="宋体"/>
          <w:color w:val="auto"/>
          <w:sz w:val="21"/>
          <w:szCs w:val="21"/>
          <w:highlight w:val="none"/>
        </w:rPr>
      </w:pPr>
      <w:r>
        <w:rPr>
          <w:rFonts w:hint="eastAsia" w:hAnsi="宋体"/>
          <w:color w:val="auto"/>
          <w:sz w:val="21"/>
          <w:szCs w:val="21"/>
          <w:highlight w:val="none"/>
        </w:rPr>
        <w:t>日期：</w:t>
      </w:r>
    </w:p>
    <w:p>
      <w:pPr>
        <w:spacing w:line="360" w:lineRule="auto"/>
        <w:rPr>
          <w:rFonts w:hAnsi="宋体"/>
          <w:color w:val="auto"/>
          <w:sz w:val="21"/>
          <w:szCs w:val="21"/>
          <w:highlight w:val="none"/>
        </w:rPr>
      </w:pPr>
    </w:p>
    <w:p>
      <w:pPr>
        <w:spacing w:line="360" w:lineRule="auto"/>
        <w:rPr>
          <w:rFonts w:hAnsi="宋体"/>
          <w:b/>
          <w:color w:val="auto"/>
          <w:sz w:val="21"/>
          <w:szCs w:val="21"/>
          <w:highlight w:val="none"/>
        </w:rPr>
      </w:pPr>
      <w:r>
        <w:rPr>
          <w:rFonts w:hint="eastAsia" w:hAnsi="宋体"/>
          <w:color w:val="auto"/>
          <w:sz w:val="21"/>
          <w:szCs w:val="21"/>
          <w:highlight w:val="none"/>
        </w:rPr>
        <w:t xml:space="preserve"> </w:t>
      </w:r>
      <w:r>
        <w:rPr>
          <w:rFonts w:hint="eastAsia" w:hAnsi="宋体"/>
          <w:b/>
          <w:color w:val="auto"/>
          <w:sz w:val="21"/>
          <w:szCs w:val="21"/>
          <w:highlight w:val="none"/>
        </w:rPr>
        <w:t xml:space="preserve"> (为避免投标无效，请供应商务必提供下列附件)</w:t>
      </w:r>
    </w:p>
    <w:p>
      <w:pPr>
        <w:spacing w:line="360" w:lineRule="auto"/>
        <w:rPr>
          <w:rFonts w:hAnsi="宋体"/>
          <w:b/>
          <w:color w:val="auto"/>
          <w:sz w:val="21"/>
          <w:szCs w:val="21"/>
          <w:highlight w:val="none"/>
        </w:rPr>
      </w:pPr>
    </w:p>
    <w:p>
      <w:pPr>
        <w:spacing w:line="360" w:lineRule="auto"/>
        <w:rPr>
          <w:rFonts w:hAnsi="宋体"/>
          <w:b/>
          <w:color w:val="auto"/>
          <w:sz w:val="21"/>
          <w:szCs w:val="21"/>
          <w:highlight w:val="none"/>
        </w:rPr>
      </w:pPr>
      <w:r>
        <w:rPr>
          <w:rFonts w:hint="eastAsia" w:hAnsi="宋体"/>
          <w:b/>
          <w:color w:val="auto"/>
          <w:sz w:val="21"/>
          <w:szCs w:val="21"/>
          <w:highlight w:val="none"/>
        </w:rPr>
        <mc:AlternateContent>
          <mc:Choice Requires="wps">
            <w:drawing>
              <wp:anchor distT="0" distB="0" distL="114300" distR="114300" simplePos="0" relativeHeight="251659264" behindDoc="0" locked="0" layoutInCell="1" allowOverlap="1">
                <wp:simplePos x="0" y="0"/>
                <wp:positionH relativeFrom="column">
                  <wp:posOffset>225425</wp:posOffset>
                </wp:positionH>
                <wp:positionV relativeFrom="paragraph">
                  <wp:posOffset>20320</wp:posOffset>
                </wp:positionV>
                <wp:extent cx="5220970" cy="2043430"/>
                <wp:effectExtent l="4445" t="4445" r="13335" b="9525"/>
                <wp:wrapNone/>
                <wp:docPr id="1" name="自选图形 12"/>
                <wp:cNvGraphicFramePr/>
                <a:graphic xmlns:a="http://schemas.openxmlformats.org/drawingml/2006/main">
                  <a:graphicData uri="http://schemas.microsoft.com/office/word/2010/wordprocessingShape">
                    <wps:wsp>
                      <wps:cNvSpPr/>
                      <wps:spPr>
                        <a:xfrm>
                          <a:off x="0" y="0"/>
                          <a:ext cx="5220970" cy="2043430"/>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Ansi="宋体"/>
                                <w:szCs w:val="21"/>
                              </w:rPr>
                            </w:pPr>
                          </w:p>
                          <w:p>
                            <w:pPr>
                              <w:jc w:val="center"/>
                              <w:rPr>
                                <w:rFonts w:hAnsi="宋体"/>
                                <w:szCs w:val="21"/>
                              </w:rPr>
                            </w:pPr>
                          </w:p>
                          <w:p>
                            <w:pPr>
                              <w:pStyle w:val="26"/>
                            </w:pPr>
                          </w:p>
                          <w:p>
                            <w:pPr>
                              <w:jc w:val="center"/>
                              <w:rPr>
                                <w:rFonts w:hAnsi="宋体"/>
                                <w:szCs w:val="21"/>
                              </w:rPr>
                            </w:pPr>
                          </w:p>
                          <w:p>
                            <w:pPr>
                              <w:jc w:val="center"/>
                            </w:pPr>
                            <w:r>
                              <w:rPr>
                                <w:rFonts w:hint="eastAsia" w:hAnsi="宋体"/>
                              </w:rPr>
                              <w:t>法定代表人身份证（正反面）复印件</w:t>
                            </w:r>
                          </w:p>
                        </w:txbxContent>
                      </wps:txbx>
                      <wps:bodyPr wrap="square" upright="1"/>
                    </wps:wsp>
                  </a:graphicData>
                </a:graphic>
              </wp:anchor>
            </w:drawing>
          </mc:Choice>
          <mc:Fallback>
            <w:pict>
              <v:shape id="自选图形 12" o:spid="_x0000_s1026" o:spt="176" type="#_x0000_t176" style="position:absolute;left:0pt;margin-left:17.75pt;margin-top:1.6pt;height:160.9pt;width:411.1pt;z-index:251659264;mso-width-relative:page;mso-height-relative:page;" fillcolor="#FFFFFF" filled="t" stroked="t" coordsize="21600,21600" o:gfxdata="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B+7litYAAAAIAQAADwAAAAAAAAABACAAAAAiAAAAZHJzL2Rvd25yZXYueG1sUEsBAhQAFAAAAAgA&#10;h07iQMnIuFonAgAAVAQAAA4AAAAAAAAAAQAgAAAAJQEAAGRycy9lMm9Eb2MueG1sUEsFBgAAAAAG&#10;AAYAWQEAAL4FAAAAAA==&#10;">
                <v:fill on="t" focussize="0,0"/>
                <v:stroke color="#000000" joinstyle="miter"/>
                <v:imagedata o:title=""/>
                <o:lock v:ext="edit" aspectratio="f"/>
                <v:textbox>
                  <w:txbxContent>
                    <w:p>
                      <w:pPr>
                        <w:jc w:val="center"/>
                        <w:rPr>
                          <w:rFonts w:hAnsi="宋体"/>
                          <w:szCs w:val="21"/>
                        </w:rPr>
                      </w:pPr>
                    </w:p>
                    <w:p>
                      <w:pPr>
                        <w:jc w:val="center"/>
                        <w:rPr>
                          <w:rFonts w:hAnsi="宋体"/>
                          <w:szCs w:val="21"/>
                        </w:rPr>
                      </w:pPr>
                    </w:p>
                    <w:p>
                      <w:pPr>
                        <w:pStyle w:val="26"/>
                      </w:pPr>
                    </w:p>
                    <w:p>
                      <w:pPr>
                        <w:jc w:val="center"/>
                        <w:rPr>
                          <w:rFonts w:hAnsi="宋体"/>
                          <w:szCs w:val="21"/>
                        </w:rPr>
                      </w:pPr>
                    </w:p>
                    <w:p>
                      <w:pPr>
                        <w:jc w:val="center"/>
                      </w:pPr>
                      <w:r>
                        <w:rPr>
                          <w:rFonts w:hint="eastAsia" w:hAnsi="宋体"/>
                        </w:rPr>
                        <w:t>法定代表人身份证（正反面）复印件</w:t>
                      </w:r>
                    </w:p>
                  </w:txbxContent>
                </v:textbox>
              </v:shape>
            </w:pict>
          </mc:Fallback>
        </mc:AlternateContent>
      </w:r>
    </w:p>
    <w:p>
      <w:pPr>
        <w:spacing w:line="360" w:lineRule="auto"/>
        <w:rPr>
          <w:rFonts w:hAnsi="宋体"/>
          <w:b/>
          <w:color w:val="auto"/>
          <w:sz w:val="21"/>
          <w:szCs w:val="21"/>
          <w:highlight w:val="none"/>
        </w:rPr>
      </w:pPr>
    </w:p>
    <w:p>
      <w:pPr>
        <w:spacing w:line="360" w:lineRule="auto"/>
        <w:rPr>
          <w:rFonts w:hAnsi="宋体"/>
          <w:b/>
          <w:color w:val="auto"/>
          <w:sz w:val="21"/>
          <w:szCs w:val="21"/>
          <w:highlight w:val="none"/>
        </w:rPr>
      </w:pPr>
    </w:p>
    <w:p>
      <w:pPr>
        <w:tabs>
          <w:tab w:val="left" w:pos="654"/>
          <w:tab w:val="left" w:pos="1734"/>
          <w:tab w:val="left" w:pos="2814"/>
          <w:tab w:val="left" w:pos="3894"/>
          <w:tab w:val="left" w:pos="5334"/>
          <w:tab w:val="left" w:pos="6414"/>
          <w:tab w:val="left" w:pos="7254"/>
          <w:tab w:val="left" w:pos="8574"/>
          <w:tab w:val="left" w:pos="9654"/>
        </w:tabs>
        <w:spacing w:line="360" w:lineRule="auto"/>
        <w:rPr>
          <w:rFonts w:hAnsi="宋体"/>
          <w:color w:val="auto"/>
          <w:sz w:val="21"/>
          <w:szCs w:val="21"/>
          <w:highlight w:val="none"/>
        </w:rPr>
      </w:pPr>
    </w:p>
    <w:p>
      <w:pPr>
        <w:tabs>
          <w:tab w:val="left" w:pos="654"/>
          <w:tab w:val="left" w:pos="1734"/>
          <w:tab w:val="left" w:pos="2814"/>
          <w:tab w:val="left" w:pos="3894"/>
          <w:tab w:val="left" w:pos="5334"/>
          <w:tab w:val="left" w:pos="6414"/>
          <w:tab w:val="left" w:pos="7254"/>
          <w:tab w:val="left" w:pos="8574"/>
          <w:tab w:val="left" w:pos="9654"/>
        </w:tabs>
        <w:spacing w:line="360" w:lineRule="auto"/>
        <w:rPr>
          <w:rFonts w:hAnsi="宋体"/>
          <w:color w:val="auto"/>
          <w:sz w:val="21"/>
          <w:szCs w:val="21"/>
          <w:highlight w:val="none"/>
        </w:rPr>
      </w:pPr>
    </w:p>
    <w:p>
      <w:pPr>
        <w:tabs>
          <w:tab w:val="left" w:pos="654"/>
          <w:tab w:val="left" w:pos="1734"/>
          <w:tab w:val="left" w:pos="2814"/>
          <w:tab w:val="left" w:pos="3894"/>
          <w:tab w:val="left" w:pos="5334"/>
          <w:tab w:val="left" w:pos="6414"/>
          <w:tab w:val="left" w:pos="7254"/>
          <w:tab w:val="left" w:pos="8574"/>
          <w:tab w:val="left" w:pos="9654"/>
        </w:tabs>
        <w:spacing w:line="360" w:lineRule="auto"/>
        <w:rPr>
          <w:rFonts w:hAnsi="宋体"/>
          <w:color w:val="auto"/>
          <w:sz w:val="21"/>
          <w:szCs w:val="21"/>
          <w:highlight w:val="none"/>
        </w:rPr>
      </w:pPr>
    </w:p>
    <w:bookmarkEnd w:id="108"/>
    <w:p>
      <w:pPr>
        <w:spacing w:line="360" w:lineRule="auto"/>
        <w:jc w:val="center"/>
        <w:rPr>
          <w:rFonts w:hAnsi="宋体"/>
          <w:b/>
          <w:color w:val="auto"/>
          <w:sz w:val="28"/>
          <w:szCs w:val="28"/>
          <w:highlight w:val="none"/>
        </w:rPr>
      </w:pPr>
    </w:p>
    <w:p>
      <w:pPr>
        <w:pStyle w:val="4"/>
        <w:pageBreakBefore/>
        <w:numPr>
          <w:ilvl w:val="0"/>
          <w:numId w:val="28"/>
        </w:numPr>
        <w:spacing w:line="360" w:lineRule="auto"/>
        <w:jc w:val="center"/>
        <w:rPr>
          <w:rFonts w:hAnsi="宋体"/>
          <w:b/>
          <w:color w:val="auto"/>
          <w:highlight w:val="none"/>
        </w:rPr>
      </w:pPr>
      <w:bookmarkStart w:id="110" w:name="_Toc30381"/>
      <w:bookmarkStart w:id="111" w:name="_Toc494532282"/>
      <w:r>
        <w:rPr>
          <w:rFonts w:hint="eastAsia" w:hAnsi="宋体"/>
          <w:b/>
          <w:color w:val="auto"/>
          <w:highlight w:val="none"/>
        </w:rPr>
        <w:t>法定代表人授权委托书</w:t>
      </w:r>
      <w:bookmarkEnd w:id="110"/>
      <w:bookmarkEnd w:id="111"/>
    </w:p>
    <w:p>
      <w:pPr>
        <w:spacing w:line="360" w:lineRule="auto"/>
        <w:rPr>
          <w:rFonts w:hAnsi="宋体"/>
          <w:color w:val="auto"/>
          <w:sz w:val="21"/>
          <w:szCs w:val="21"/>
          <w:highlight w:val="none"/>
        </w:rPr>
      </w:pPr>
      <w:r>
        <w:rPr>
          <w:rFonts w:hint="eastAsia" w:hAnsi="宋体"/>
          <w:color w:val="auto"/>
          <w:sz w:val="16"/>
          <w:szCs w:val="21"/>
          <w:highlight w:val="none"/>
        </w:rPr>
        <w:t>（对于银行、保险、电信、邮政、铁路等行业以及获得总公司投标授权的分公司，可以提供投标分支机构负责人授权书）</w:t>
      </w:r>
    </w:p>
    <w:p>
      <w:pPr>
        <w:spacing w:line="360" w:lineRule="auto"/>
        <w:rPr>
          <w:rFonts w:hAnsi="宋体"/>
          <w:color w:val="auto"/>
          <w:sz w:val="21"/>
          <w:szCs w:val="21"/>
          <w:highlight w:val="none"/>
        </w:rPr>
      </w:pPr>
    </w:p>
    <w:p>
      <w:pPr>
        <w:spacing w:line="360" w:lineRule="auto"/>
        <w:rPr>
          <w:rFonts w:hAnsi="宋体"/>
          <w:b/>
          <w:color w:val="auto"/>
          <w:sz w:val="21"/>
          <w:szCs w:val="21"/>
          <w:highlight w:val="none"/>
        </w:rPr>
      </w:pPr>
      <w:r>
        <w:rPr>
          <w:rFonts w:hint="eastAsia" w:hAnsi="宋体"/>
          <w:b/>
          <w:color w:val="auto"/>
          <w:sz w:val="21"/>
          <w:szCs w:val="21"/>
          <w:highlight w:val="none"/>
        </w:rPr>
        <w:t>致：广东中科招标有限公司</w:t>
      </w:r>
    </w:p>
    <w:p>
      <w:pPr>
        <w:spacing w:line="360" w:lineRule="auto"/>
        <w:rPr>
          <w:rFonts w:hAnsi="宋体"/>
          <w:b/>
          <w:color w:val="auto"/>
          <w:sz w:val="21"/>
          <w:szCs w:val="21"/>
          <w:highlight w:val="none"/>
        </w:rPr>
      </w:pPr>
    </w:p>
    <w:p>
      <w:pPr>
        <w:pStyle w:val="26"/>
        <w:spacing w:line="360" w:lineRule="auto"/>
        <w:ind w:firstLine="420"/>
        <w:rPr>
          <w:rFonts w:hAnsi="宋体"/>
          <w:color w:val="auto"/>
          <w:szCs w:val="21"/>
          <w:highlight w:val="none"/>
        </w:rPr>
      </w:pPr>
      <w:r>
        <w:rPr>
          <w:rFonts w:hint="eastAsia" w:hAnsi="宋体"/>
          <w:color w:val="auto"/>
          <w:szCs w:val="21"/>
          <w:highlight w:val="none"/>
        </w:rPr>
        <w:t>本授权书声明：</w:t>
      </w:r>
      <w:r>
        <w:rPr>
          <w:rFonts w:hAnsi="宋体"/>
          <w:color w:val="auto"/>
          <w:szCs w:val="21"/>
          <w:highlight w:val="none"/>
          <w:u w:val="single"/>
        </w:rPr>
        <w:t xml:space="preserve"> </w:t>
      </w:r>
      <w:r>
        <w:rPr>
          <w:rFonts w:hAnsi="宋体"/>
          <w:color w:val="auto"/>
          <w:szCs w:val="21"/>
          <w:highlight w:val="none"/>
          <w:u w:val="single"/>
        </w:rPr>
        <w:tab/>
      </w:r>
      <w:r>
        <w:rPr>
          <w:rFonts w:hAnsi="宋体"/>
          <w:color w:val="auto"/>
          <w:szCs w:val="21"/>
          <w:highlight w:val="none"/>
          <w:u w:val="single"/>
        </w:rPr>
        <w:tab/>
      </w:r>
      <w:r>
        <w:rPr>
          <w:rFonts w:hint="eastAsia" w:hAnsi="宋体"/>
          <w:color w:val="auto"/>
          <w:szCs w:val="21"/>
          <w:highlight w:val="none"/>
        </w:rPr>
        <w:t>是注册于</w:t>
      </w:r>
      <w:r>
        <w:rPr>
          <w:rFonts w:hAnsi="宋体"/>
          <w:color w:val="auto"/>
          <w:szCs w:val="21"/>
          <w:highlight w:val="none"/>
        </w:rPr>
        <w:t xml:space="preserve"> </w:t>
      </w:r>
      <w:r>
        <w:rPr>
          <w:rFonts w:hint="eastAsia" w:hAnsi="宋体"/>
          <w:color w:val="auto"/>
          <w:szCs w:val="21"/>
          <w:highlight w:val="none"/>
          <w:u w:val="single"/>
        </w:rPr>
        <w:t>（国家或地区）</w:t>
      </w:r>
      <w:r>
        <w:rPr>
          <w:rFonts w:hint="eastAsia" w:hAnsi="宋体"/>
          <w:color w:val="auto"/>
          <w:szCs w:val="21"/>
          <w:highlight w:val="none"/>
        </w:rPr>
        <w:t>的</w:t>
      </w:r>
      <w:r>
        <w:rPr>
          <w:rFonts w:hint="eastAsia" w:hAnsi="宋体"/>
          <w:color w:val="auto"/>
          <w:szCs w:val="21"/>
          <w:highlight w:val="none"/>
          <w:u w:val="single"/>
        </w:rPr>
        <w:t>（供应商名称）</w:t>
      </w:r>
      <w:r>
        <w:rPr>
          <w:rFonts w:hint="eastAsia" w:hAnsi="宋体"/>
          <w:color w:val="auto"/>
          <w:szCs w:val="21"/>
          <w:highlight w:val="none"/>
        </w:rPr>
        <w:t>的法定代表人，现任</w:t>
      </w:r>
      <w:r>
        <w:rPr>
          <w:rFonts w:hAnsi="宋体"/>
          <w:color w:val="auto"/>
          <w:szCs w:val="21"/>
          <w:highlight w:val="none"/>
          <w:u w:val="single"/>
        </w:rPr>
        <w:t xml:space="preserve"> </w:t>
      </w:r>
      <w:r>
        <w:rPr>
          <w:rFonts w:hAnsi="宋体"/>
          <w:color w:val="auto"/>
          <w:szCs w:val="21"/>
          <w:highlight w:val="none"/>
          <w:u w:val="single"/>
        </w:rPr>
        <w:tab/>
      </w:r>
      <w:r>
        <w:rPr>
          <w:rFonts w:hint="eastAsia" w:hAnsi="宋体"/>
          <w:color w:val="auto"/>
          <w:szCs w:val="21"/>
          <w:highlight w:val="none"/>
        </w:rPr>
        <w:t>职务，有效证件号码：</w:t>
      </w:r>
      <w:r>
        <w:rPr>
          <w:rFonts w:hAnsi="宋体"/>
          <w:color w:val="auto"/>
          <w:szCs w:val="21"/>
          <w:highlight w:val="none"/>
          <w:u w:val="single"/>
        </w:rPr>
        <w:t xml:space="preserve"> </w:t>
      </w:r>
      <w:r>
        <w:rPr>
          <w:rFonts w:hAnsi="宋体"/>
          <w:color w:val="auto"/>
          <w:szCs w:val="21"/>
          <w:highlight w:val="none"/>
          <w:u w:val="single"/>
        </w:rPr>
        <w:tab/>
      </w:r>
      <w:r>
        <w:rPr>
          <w:rFonts w:hint="eastAsia" w:hAnsi="宋体"/>
          <w:color w:val="auto"/>
          <w:szCs w:val="21"/>
          <w:highlight w:val="none"/>
        </w:rPr>
        <w:t>。现授权</w:t>
      </w:r>
      <w:r>
        <w:rPr>
          <w:rFonts w:hAnsi="宋体"/>
          <w:color w:val="auto"/>
          <w:szCs w:val="21"/>
          <w:highlight w:val="none"/>
        </w:rPr>
        <w:t xml:space="preserve"> </w:t>
      </w:r>
      <w:r>
        <w:rPr>
          <w:rFonts w:hint="eastAsia" w:hAnsi="宋体"/>
          <w:color w:val="auto"/>
          <w:szCs w:val="21"/>
          <w:highlight w:val="none"/>
          <w:u w:val="single"/>
        </w:rPr>
        <w:t>（姓名、职务）</w:t>
      </w:r>
      <w:r>
        <w:rPr>
          <w:rFonts w:hAnsi="宋体"/>
          <w:color w:val="auto"/>
          <w:szCs w:val="21"/>
          <w:highlight w:val="none"/>
          <w:u w:val="single"/>
        </w:rPr>
        <w:t xml:space="preserve"> </w:t>
      </w:r>
      <w:r>
        <w:rPr>
          <w:rFonts w:hint="eastAsia" w:hAnsi="宋体"/>
          <w:color w:val="auto"/>
          <w:szCs w:val="21"/>
          <w:highlight w:val="none"/>
        </w:rPr>
        <w:t>作为我公司的全权代理人，就霄边社区典型村“百千万工程”建设提升规划编制</w:t>
      </w:r>
      <w:r>
        <w:rPr>
          <w:rFonts w:hAnsi="宋体"/>
          <w:color w:val="auto"/>
          <w:szCs w:val="21"/>
          <w:highlight w:val="none"/>
        </w:rPr>
        <w:t>[</w:t>
      </w:r>
      <w:r>
        <w:rPr>
          <w:rFonts w:hint="eastAsia" w:hAnsi="宋体"/>
          <w:color w:val="auto"/>
          <w:szCs w:val="21"/>
          <w:highlight w:val="none"/>
        </w:rPr>
        <w:t xml:space="preserve">采购项目编号为 ZKZB-2024-C018 </w:t>
      </w:r>
      <w:r>
        <w:rPr>
          <w:rFonts w:hAnsi="宋体"/>
          <w:color w:val="auto"/>
          <w:szCs w:val="21"/>
          <w:highlight w:val="none"/>
        </w:rPr>
        <w:t>]</w:t>
      </w:r>
      <w:r>
        <w:rPr>
          <w:rFonts w:hint="eastAsia" w:hAnsi="宋体"/>
          <w:color w:val="auto"/>
          <w:szCs w:val="21"/>
          <w:highlight w:val="none"/>
        </w:rPr>
        <w:t>的投标和合同执行，以我方的名义处理一切与之有关的事宜。</w:t>
      </w:r>
    </w:p>
    <w:p>
      <w:pPr>
        <w:pStyle w:val="26"/>
        <w:spacing w:line="360" w:lineRule="auto"/>
        <w:ind w:firstLine="420"/>
        <w:rPr>
          <w:rFonts w:hAnsi="宋体"/>
          <w:color w:val="auto"/>
          <w:szCs w:val="21"/>
          <w:highlight w:val="none"/>
        </w:rPr>
      </w:pPr>
      <w:r>
        <w:rPr>
          <w:rFonts w:hint="eastAsia" w:hAnsi="宋体"/>
          <w:color w:val="auto"/>
          <w:szCs w:val="21"/>
          <w:highlight w:val="none"/>
        </w:rPr>
        <w:t>本授权书于</w:t>
      </w:r>
      <w:r>
        <w:rPr>
          <w:rFonts w:hAnsi="宋体"/>
          <w:color w:val="auto"/>
          <w:szCs w:val="21"/>
          <w:highlight w:val="none"/>
          <w:u w:val="single"/>
        </w:rPr>
        <w:t xml:space="preserve"> </w:t>
      </w:r>
      <w:r>
        <w:rPr>
          <w:rFonts w:hAnsi="宋体"/>
          <w:color w:val="auto"/>
          <w:szCs w:val="21"/>
          <w:highlight w:val="none"/>
          <w:u w:val="single"/>
        </w:rPr>
        <w:tab/>
      </w:r>
      <w:r>
        <w:rPr>
          <w:rFonts w:hint="eastAsia" w:hAnsi="宋体"/>
          <w:color w:val="auto"/>
          <w:szCs w:val="21"/>
          <w:highlight w:val="none"/>
        </w:rPr>
        <w:t>年</w:t>
      </w:r>
      <w:r>
        <w:rPr>
          <w:rFonts w:hAnsi="宋体"/>
          <w:color w:val="auto"/>
          <w:szCs w:val="21"/>
          <w:highlight w:val="none"/>
          <w:u w:val="single"/>
        </w:rPr>
        <w:t xml:space="preserve"> </w:t>
      </w:r>
      <w:r>
        <w:rPr>
          <w:rFonts w:hAnsi="宋体"/>
          <w:color w:val="auto"/>
          <w:szCs w:val="21"/>
          <w:highlight w:val="none"/>
          <w:u w:val="single"/>
        </w:rPr>
        <w:tab/>
      </w:r>
      <w:r>
        <w:rPr>
          <w:rFonts w:hint="eastAsia" w:hAnsi="宋体"/>
          <w:color w:val="auto"/>
          <w:szCs w:val="21"/>
          <w:highlight w:val="none"/>
        </w:rPr>
        <w:t>月</w:t>
      </w:r>
      <w:r>
        <w:rPr>
          <w:rFonts w:hAnsi="宋体"/>
          <w:color w:val="auto"/>
          <w:szCs w:val="21"/>
          <w:highlight w:val="none"/>
          <w:u w:val="single"/>
        </w:rPr>
        <w:t xml:space="preserve"> </w:t>
      </w:r>
      <w:r>
        <w:rPr>
          <w:rFonts w:hAnsi="宋体"/>
          <w:color w:val="auto"/>
          <w:szCs w:val="21"/>
          <w:highlight w:val="none"/>
          <w:u w:val="single"/>
        </w:rPr>
        <w:tab/>
      </w:r>
      <w:r>
        <w:rPr>
          <w:rFonts w:hint="eastAsia" w:hAnsi="宋体"/>
          <w:color w:val="auto"/>
          <w:szCs w:val="21"/>
          <w:highlight w:val="none"/>
        </w:rPr>
        <w:t>日签字生效，特此声明。</w:t>
      </w:r>
    </w:p>
    <w:p>
      <w:pPr>
        <w:spacing w:line="360" w:lineRule="auto"/>
        <w:jc w:val="both"/>
        <w:rPr>
          <w:rFonts w:hAnsi="宋体"/>
          <w:color w:val="auto"/>
          <w:sz w:val="21"/>
          <w:szCs w:val="21"/>
          <w:highlight w:val="none"/>
        </w:rPr>
      </w:pPr>
    </w:p>
    <w:p>
      <w:pPr>
        <w:spacing w:line="360" w:lineRule="auto"/>
        <w:jc w:val="both"/>
        <w:rPr>
          <w:rFonts w:hAnsi="宋体"/>
          <w:color w:val="auto"/>
          <w:sz w:val="21"/>
          <w:szCs w:val="21"/>
          <w:highlight w:val="none"/>
          <w:u w:val="single"/>
        </w:rPr>
      </w:pPr>
      <w:r>
        <w:rPr>
          <w:rFonts w:hint="eastAsia" w:hAnsi="宋体"/>
          <w:color w:val="auto"/>
          <w:sz w:val="21"/>
          <w:szCs w:val="21"/>
          <w:highlight w:val="none"/>
        </w:rPr>
        <w:t>供应商（盖章）</w:t>
      </w:r>
    </w:p>
    <w:p>
      <w:pPr>
        <w:spacing w:line="360" w:lineRule="auto"/>
        <w:jc w:val="both"/>
        <w:rPr>
          <w:rFonts w:hAnsi="宋体"/>
          <w:color w:val="auto"/>
          <w:sz w:val="21"/>
          <w:szCs w:val="21"/>
          <w:highlight w:val="none"/>
        </w:rPr>
      </w:pPr>
      <w:r>
        <w:rPr>
          <w:rFonts w:hint="eastAsia" w:hAnsi="宋体"/>
          <w:color w:val="auto"/>
          <w:sz w:val="21"/>
          <w:szCs w:val="21"/>
          <w:highlight w:val="none"/>
        </w:rPr>
        <w:t>地址：</w:t>
      </w:r>
    </w:p>
    <w:p>
      <w:pPr>
        <w:spacing w:line="360" w:lineRule="auto"/>
        <w:jc w:val="both"/>
        <w:rPr>
          <w:rFonts w:hAnsi="宋体"/>
          <w:color w:val="auto"/>
          <w:sz w:val="21"/>
          <w:szCs w:val="21"/>
          <w:highlight w:val="none"/>
          <w:u w:val="single"/>
        </w:rPr>
      </w:pPr>
      <w:r>
        <w:rPr>
          <w:rFonts w:hint="eastAsia" w:hAnsi="宋体"/>
          <w:color w:val="auto"/>
          <w:sz w:val="21"/>
          <w:szCs w:val="21"/>
          <w:highlight w:val="none"/>
        </w:rPr>
        <w:t>法定代表人（签字或盖章）：</w:t>
      </w:r>
    </w:p>
    <w:p>
      <w:pPr>
        <w:spacing w:line="360" w:lineRule="auto"/>
        <w:jc w:val="both"/>
        <w:rPr>
          <w:rFonts w:hAnsi="宋体"/>
          <w:color w:val="auto"/>
          <w:sz w:val="21"/>
          <w:szCs w:val="21"/>
          <w:highlight w:val="none"/>
          <w:u w:val="single"/>
        </w:rPr>
      </w:pPr>
      <w:r>
        <w:rPr>
          <w:rFonts w:hint="eastAsia" w:hAnsi="宋体"/>
          <w:color w:val="auto"/>
          <w:sz w:val="21"/>
          <w:szCs w:val="21"/>
          <w:highlight w:val="none"/>
        </w:rPr>
        <w:t>职务：</w:t>
      </w:r>
    </w:p>
    <w:p>
      <w:pPr>
        <w:spacing w:line="360" w:lineRule="auto"/>
        <w:jc w:val="both"/>
        <w:rPr>
          <w:rFonts w:hAnsi="宋体"/>
          <w:color w:val="auto"/>
          <w:sz w:val="21"/>
          <w:szCs w:val="21"/>
          <w:highlight w:val="none"/>
        </w:rPr>
      </w:pPr>
      <w:r>
        <w:rPr>
          <w:rFonts w:hint="eastAsia" w:hAnsi="宋体"/>
          <w:color w:val="auto"/>
          <w:sz w:val="21"/>
          <w:szCs w:val="21"/>
          <w:highlight w:val="none"/>
        </w:rPr>
        <w:t>被授权人（签字或盖章）：</w:t>
      </w:r>
    </w:p>
    <w:p>
      <w:pPr>
        <w:spacing w:line="360" w:lineRule="auto"/>
        <w:jc w:val="both"/>
        <w:rPr>
          <w:rFonts w:hAnsi="宋体"/>
          <w:color w:val="auto"/>
          <w:sz w:val="21"/>
          <w:szCs w:val="21"/>
          <w:highlight w:val="none"/>
        </w:rPr>
      </w:pPr>
      <w:r>
        <w:rPr>
          <w:rFonts w:hint="eastAsia" w:hAnsi="宋体"/>
          <w:color w:val="auto"/>
          <w:sz w:val="21"/>
          <w:szCs w:val="21"/>
          <w:highlight w:val="none"/>
        </w:rPr>
        <w:t>职务：</w:t>
      </w:r>
    </w:p>
    <w:p>
      <w:pPr>
        <w:spacing w:line="360" w:lineRule="auto"/>
        <w:jc w:val="both"/>
        <w:rPr>
          <w:rFonts w:hAnsi="宋体"/>
          <w:color w:val="auto"/>
          <w:sz w:val="21"/>
          <w:szCs w:val="21"/>
          <w:highlight w:val="none"/>
        </w:rPr>
      </w:pPr>
      <w:r>
        <w:rPr>
          <w:rFonts w:hint="eastAsia" w:hAnsi="宋体"/>
          <w:color w:val="auto"/>
          <w:sz w:val="21"/>
          <w:szCs w:val="21"/>
          <w:highlight w:val="none"/>
        </w:rPr>
        <w:t>日期：</w:t>
      </w:r>
    </w:p>
    <w:p>
      <w:pPr>
        <w:spacing w:line="360" w:lineRule="auto"/>
        <w:ind w:firstLine="420"/>
        <w:rPr>
          <w:rFonts w:hAnsi="宋体"/>
          <w:color w:val="auto"/>
          <w:sz w:val="21"/>
          <w:szCs w:val="21"/>
          <w:highlight w:val="none"/>
          <w:u w:val="single"/>
        </w:rPr>
      </w:pPr>
    </w:p>
    <w:p>
      <w:pPr>
        <w:spacing w:line="360" w:lineRule="auto"/>
        <w:ind w:firstLine="420"/>
        <w:rPr>
          <w:rFonts w:hAnsi="宋体"/>
          <w:color w:val="auto"/>
          <w:sz w:val="21"/>
          <w:szCs w:val="21"/>
          <w:highlight w:val="none"/>
          <w:u w:val="single"/>
        </w:rPr>
      </w:pPr>
      <w:r>
        <w:rPr>
          <w:rFonts w:hint="eastAsia" w:hAnsi="宋体"/>
          <w:color w:val="auto"/>
          <w:sz w:val="21"/>
          <w:szCs w:val="21"/>
          <w:highlight w:val="none"/>
        </w:rPr>
        <w:t xml:space="preserve"> </w:t>
      </w:r>
      <w:r>
        <w:rPr>
          <w:rFonts w:hint="eastAsia" w:hAnsi="宋体"/>
          <w:b/>
          <w:color w:val="auto"/>
          <w:sz w:val="21"/>
          <w:szCs w:val="21"/>
          <w:highlight w:val="none"/>
        </w:rPr>
        <w:t xml:space="preserve"> (为避免投标无效，请供应商务必提供下列附件)</w:t>
      </w:r>
    </w:p>
    <w:p>
      <w:pPr>
        <w:spacing w:line="360" w:lineRule="auto"/>
        <w:ind w:firstLine="420"/>
        <w:rPr>
          <w:rFonts w:hAnsi="宋体"/>
          <w:color w:val="auto"/>
          <w:sz w:val="21"/>
          <w:szCs w:val="21"/>
          <w:highlight w:val="none"/>
          <w:u w:val="single"/>
        </w:rPr>
      </w:pPr>
    </w:p>
    <w:p>
      <w:pPr>
        <w:spacing w:line="360" w:lineRule="auto"/>
        <w:ind w:firstLine="420"/>
        <w:rPr>
          <w:rFonts w:hAnsi="宋体"/>
          <w:color w:val="auto"/>
          <w:sz w:val="21"/>
          <w:szCs w:val="21"/>
          <w:highlight w:val="none"/>
          <w:u w:val="single"/>
        </w:rPr>
      </w:pPr>
    </w:p>
    <w:p>
      <w:pPr>
        <w:spacing w:line="360" w:lineRule="auto"/>
        <w:ind w:firstLine="420"/>
        <w:rPr>
          <w:rFonts w:hAnsi="宋体"/>
          <w:color w:val="auto"/>
          <w:sz w:val="21"/>
          <w:szCs w:val="21"/>
          <w:highlight w:val="none"/>
          <w:u w:val="single"/>
        </w:rPr>
      </w:pPr>
      <w:r>
        <w:rPr>
          <w:rFonts w:hint="eastAsia" w:hAnsi="宋体"/>
          <w:color w:val="auto"/>
          <w:sz w:val="21"/>
          <w:szCs w:val="21"/>
          <w:highlight w:val="none"/>
          <w:u w:val="single"/>
        </w:rPr>
        <mc:AlternateContent>
          <mc:Choice Requires="wps">
            <w:drawing>
              <wp:anchor distT="0" distB="0" distL="114300" distR="114300" simplePos="0" relativeHeight="251660288" behindDoc="0" locked="0" layoutInCell="1" allowOverlap="1">
                <wp:simplePos x="0" y="0"/>
                <wp:positionH relativeFrom="column">
                  <wp:posOffset>532130</wp:posOffset>
                </wp:positionH>
                <wp:positionV relativeFrom="paragraph">
                  <wp:posOffset>33020</wp:posOffset>
                </wp:positionV>
                <wp:extent cx="4803140" cy="1998980"/>
                <wp:effectExtent l="4445" t="4445" r="12065" b="15875"/>
                <wp:wrapNone/>
                <wp:docPr id="2" name="自选图形 13"/>
                <wp:cNvGraphicFramePr/>
                <a:graphic xmlns:a="http://schemas.openxmlformats.org/drawingml/2006/main">
                  <a:graphicData uri="http://schemas.microsoft.com/office/word/2010/wordprocessingShape">
                    <wps:wsp>
                      <wps:cNvSpPr/>
                      <wps:spPr>
                        <a:xfrm>
                          <a:off x="0" y="0"/>
                          <a:ext cx="4803140" cy="1998980"/>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Ansi="宋体"/>
                                <w:szCs w:val="21"/>
                              </w:rPr>
                            </w:pPr>
                          </w:p>
                          <w:p>
                            <w:pPr>
                              <w:jc w:val="center"/>
                              <w:rPr>
                                <w:rFonts w:hAnsi="宋体"/>
                                <w:szCs w:val="21"/>
                              </w:rPr>
                            </w:pPr>
                          </w:p>
                          <w:p>
                            <w:pPr>
                              <w:jc w:val="center"/>
                              <w:rPr>
                                <w:rFonts w:hAnsi="宋体"/>
                                <w:szCs w:val="21"/>
                              </w:rPr>
                            </w:pPr>
                          </w:p>
                          <w:p>
                            <w:pPr>
                              <w:pStyle w:val="26"/>
                            </w:pPr>
                          </w:p>
                          <w:p>
                            <w:pPr>
                              <w:jc w:val="center"/>
                              <w:rPr>
                                <w:szCs w:val="21"/>
                              </w:rPr>
                            </w:pPr>
                            <w:r>
                              <w:rPr>
                                <w:rFonts w:hint="eastAsia" w:hAnsi="宋体"/>
                                <w:szCs w:val="21"/>
                              </w:rPr>
                              <w:t>被授权人身份证（正反面）复印件</w:t>
                            </w:r>
                          </w:p>
                        </w:txbxContent>
                      </wps:txbx>
                      <wps:bodyPr wrap="square" upright="1"/>
                    </wps:wsp>
                  </a:graphicData>
                </a:graphic>
              </wp:anchor>
            </w:drawing>
          </mc:Choice>
          <mc:Fallback>
            <w:pict>
              <v:shape id="自选图形 13" o:spid="_x0000_s1026" o:spt="176" type="#_x0000_t176" style="position:absolute;left:0pt;margin-left:41.9pt;margin-top:2.6pt;height:157.4pt;width:378.2pt;z-index:251660288;mso-width-relative:page;mso-height-relative:page;" fillcolor="#FFFFFF" filled="t" stroked="t" coordsize="21600,21600" o:gfxdata="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DRAAUzWAAAACAEAAA8AAAAAAAAAAQAgAAAAIgAAAGRycy9kb3ducmV2LnhtbFBLAQIUABQAAAAI&#10;AIdO4kDcrHBhKAIAAFQEAAAOAAAAAAAAAAEAIAAAACUBAABkcnMvZTJvRG9jLnhtbFBLBQYAAAAA&#10;BgAGAFkBAAC/BQAAAAA=&#10;">
                <v:fill on="t" focussize="0,0"/>
                <v:stroke color="#000000" joinstyle="miter"/>
                <v:imagedata o:title=""/>
                <o:lock v:ext="edit" aspectratio="f"/>
                <v:textbox>
                  <w:txbxContent>
                    <w:p>
                      <w:pPr>
                        <w:jc w:val="center"/>
                        <w:rPr>
                          <w:rFonts w:hAnsi="宋体"/>
                          <w:szCs w:val="21"/>
                        </w:rPr>
                      </w:pPr>
                    </w:p>
                    <w:p>
                      <w:pPr>
                        <w:jc w:val="center"/>
                        <w:rPr>
                          <w:rFonts w:hAnsi="宋体"/>
                          <w:szCs w:val="21"/>
                        </w:rPr>
                      </w:pPr>
                    </w:p>
                    <w:p>
                      <w:pPr>
                        <w:jc w:val="center"/>
                        <w:rPr>
                          <w:rFonts w:hAnsi="宋体"/>
                          <w:szCs w:val="21"/>
                        </w:rPr>
                      </w:pPr>
                    </w:p>
                    <w:p>
                      <w:pPr>
                        <w:pStyle w:val="26"/>
                      </w:pPr>
                    </w:p>
                    <w:p>
                      <w:pPr>
                        <w:jc w:val="center"/>
                        <w:rPr>
                          <w:szCs w:val="21"/>
                        </w:rPr>
                      </w:pPr>
                      <w:r>
                        <w:rPr>
                          <w:rFonts w:hint="eastAsia" w:hAnsi="宋体"/>
                          <w:szCs w:val="21"/>
                        </w:rPr>
                        <w:t>被授权人身份证（正反面）复印件</w:t>
                      </w:r>
                    </w:p>
                  </w:txbxContent>
                </v:textbox>
              </v:shape>
            </w:pict>
          </mc:Fallback>
        </mc:AlternateContent>
      </w:r>
    </w:p>
    <w:p>
      <w:pPr>
        <w:spacing w:line="360" w:lineRule="auto"/>
        <w:ind w:firstLine="420"/>
        <w:rPr>
          <w:rFonts w:hAnsi="宋体"/>
          <w:color w:val="auto"/>
          <w:sz w:val="21"/>
          <w:szCs w:val="21"/>
          <w:highlight w:val="none"/>
          <w:u w:val="single"/>
        </w:rPr>
      </w:pPr>
    </w:p>
    <w:p>
      <w:pPr>
        <w:spacing w:line="360" w:lineRule="auto"/>
        <w:ind w:firstLine="420"/>
        <w:rPr>
          <w:rFonts w:hAnsi="宋体"/>
          <w:color w:val="auto"/>
          <w:sz w:val="21"/>
          <w:szCs w:val="21"/>
          <w:highlight w:val="none"/>
          <w:u w:val="single"/>
        </w:rPr>
      </w:pPr>
    </w:p>
    <w:p>
      <w:pPr>
        <w:spacing w:line="360" w:lineRule="auto"/>
        <w:ind w:firstLine="420"/>
        <w:rPr>
          <w:rFonts w:hAnsi="宋体"/>
          <w:color w:val="auto"/>
          <w:sz w:val="21"/>
          <w:szCs w:val="21"/>
          <w:highlight w:val="none"/>
          <w:u w:val="single"/>
        </w:rPr>
      </w:pPr>
    </w:p>
    <w:p>
      <w:pPr>
        <w:spacing w:line="360" w:lineRule="auto"/>
        <w:ind w:firstLine="420"/>
        <w:rPr>
          <w:rFonts w:hAnsi="宋体"/>
          <w:color w:val="auto"/>
          <w:sz w:val="21"/>
          <w:szCs w:val="21"/>
          <w:highlight w:val="none"/>
          <w:u w:val="single"/>
        </w:rPr>
      </w:pPr>
    </w:p>
    <w:p>
      <w:pPr>
        <w:spacing w:line="360" w:lineRule="auto"/>
        <w:ind w:firstLine="420"/>
        <w:rPr>
          <w:rFonts w:hAnsi="宋体"/>
          <w:color w:val="auto"/>
          <w:sz w:val="21"/>
          <w:szCs w:val="21"/>
          <w:highlight w:val="none"/>
          <w:u w:val="single"/>
        </w:rPr>
      </w:pPr>
    </w:p>
    <w:p>
      <w:pPr>
        <w:spacing w:line="360" w:lineRule="auto"/>
        <w:ind w:firstLine="420"/>
        <w:rPr>
          <w:rFonts w:hAnsi="宋体"/>
          <w:color w:val="auto"/>
          <w:sz w:val="21"/>
          <w:szCs w:val="21"/>
          <w:highlight w:val="none"/>
          <w:u w:val="single"/>
        </w:rPr>
      </w:pPr>
    </w:p>
    <w:p>
      <w:pPr>
        <w:spacing w:line="360" w:lineRule="auto"/>
        <w:ind w:firstLine="420"/>
        <w:rPr>
          <w:rFonts w:hAnsi="宋体"/>
          <w:color w:val="auto"/>
          <w:sz w:val="21"/>
          <w:szCs w:val="21"/>
          <w:highlight w:val="none"/>
          <w:u w:val="single"/>
        </w:rPr>
      </w:pPr>
    </w:p>
    <w:p>
      <w:pPr>
        <w:spacing w:line="360" w:lineRule="auto"/>
        <w:jc w:val="center"/>
        <w:rPr>
          <w:rFonts w:hAnsi="宋体"/>
          <w:b/>
          <w:color w:val="auto"/>
          <w:sz w:val="28"/>
          <w:szCs w:val="28"/>
          <w:highlight w:val="none"/>
        </w:rPr>
      </w:pPr>
    </w:p>
    <w:p>
      <w:pPr>
        <w:pStyle w:val="4"/>
        <w:pageBreakBefore/>
        <w:numPr>
          <w:ilvl w:val="0"/>
          <w:numId w:val="28"/>
        </w:numPr>
        <w:spacing w:line="360" w:lineRule="auto"/>
        <w:jc w:val="center"/>
        <w:rPr>
          <w:rFonts w:hAnsi="宋体"/>
          <w:b/>
          <w:color w:val="auto"/>
          <w:highlight w:val="none"/>
        </w:rPr>
      </w:pPr>
      <w:bookmarkStart w:id="112" w:name="_Toc4485"/>
      <w:r>
        <w:rPr>
          <w:rFonts w:hint="eastAsia" w:hAnsi="宋体"/>
          <w:b/>
          <w:color w:val="auto"/>
          <w:highlight w:val="none"/>
        </w:rPr>
        <w:t>投标保证金汇入情况说明（本项目不适用）</w:t>
      </w:r>
      <w:bookmarkEnd w:id="112"/>
    </w:p>
    <w:p>
      <w:pPr>
        <w:spacing w:line="360" w:lineRule="auto"/>
        <w:rPr>
          <w:rFonts w:hAnsi="宋体"/>
          <w:color w:val="auto"/>
          <w:sz w:val="21"/>
          <w:szCs w:val="21"/>
          <w:highlight w:val="none"/>
        </w:rPr>
      </w:pPr>
    </w:p>
    <w:p>
      <w:pPr>
        <w:spacing w:line="360" w:lineRule="auto"/>
        <w:rPr>
          <w:rFonts w:hAnsi="宋体"/>
          <w:b/>
          <w:color w:val="auto"/>
          <w:sz w:val="21"/>
          <w:szCs w:val="21"/>
          <w:highlight w:val="none"/>
        </w:rPr>
      </w:pPr>
      <w:r>
        <w:rPr>
          <w:rFonts w:hint="eastAsia" w:hAnsi="宋体"/>
          <w:b/>
          <w:color w:val="auto"/>
          <w:sz w:val="21"/>
          <w:szCs w:val="21"/>
          <w:highlight w:val="none"/>
        </w:rPr>
        <w:t xml:space="preserve">致：广东中科招标有限公司 </w:t>
      </w:r>
    </w:p>
    <w:p>
      <w:pPr>
        <w:spacing w:line="360" w:lineRule="auto"/>
        <w:rPr>
          <w:rFonts w:hAnsi="宋体"/>
          <w:color w:val="auto"/>
          <w:sz w:val="21"/>
          <w:szCs w:val="21"/>
          <w:highlight w:val="none"/>
        </w:rPr>
      </w:pP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本单位已按</w:t>
      </w:r>
      <w:r>
        <w:rPr>
          <w:rFonts w:hint="eastAsia" w:hAnsi="宋体"/>
          <w:color w:val="auto"/>
          <w:kern w:val="2"/>
          <w:sz w:val="21"/>
          <w:szCs w:val="21"/>
          <w:highlight w:val="none"/>
          <w:lang w:val="zh-CN"/>
        </w:rPr>
        <w:t>霄边社区典型村“百千万工程”建设提升规划编制</w:t>
      </w:r>
      <w:r>
        <w:rPr>
          <w:rFonts w:hint="eastAsia" w:hAnsi="宋体"/>
          <w:color w:val="auto"/>
          <w:sz w:val="21"/>
          <w:szCs w:val="32"/>
          <w:highlight w:val="none"/>
        </w:rPr>
        <w:t>(采购项目编号</w:t>
      </w:r>
      <w:r>
        <w:rPr>
          <w:rFonts w:hint="eastAsia" w:hAnsi="宋体"/>
          <w:color w:val="auto"/>
          <w:kern w:val="2"/>
          <w:sz w:val="21"/>
          <w:szCs w:val="21"/>
          <w:highlight w:val="none"/>
          <w:lang w:val="zh-CN"/>
        </w:rPr>
        <w:t>：ZKZB-2024-C018)</w:t>
      </w:r>
      <w:r>
        <w:rPr>
          <w:rFonts w:hint="eastAsia" w:hAnsi="宋体"/>
          <w:color w:val="auto"/>
          <w:sz w:val="21"/>
          <w:szCs w:val="21"/>
          <w:highlight w:val="none"/>
        </w:rPr>
        <w:t>的磋商文件要求，于</w:t>
      </w:r>
      <w:r>
        <w:rPr>
          <w:rFonts w:hint="eastAsia" w:hAnsi="宋体"/>
          <w:color w:val="auto"/>
          <w:sz w:val="21"/>
          <w:szCs w:val="21"/>
          <w:highlight w:val="none"/>
          <w:u w:val="single"/>
        </w:rPr>
        <w:t xml:space="preserve">    </w:t>
      </w:r>
      <w:r>
        <w:rPr>
          <w:rFonts w:hint="eastAsia" w:hAnsi="宋体"/>
          <w:color w:val="auto"/>
          <w:sz w:val="21"/>
          <w:szCs w:val="21"/>
          <w:highlight w:val="none"/>
        </w:rPr>
        <w:t>年</w:t>
      </w:r>
      <w:r>
        <w:rPr>
          <w:rFonts w:hint="eastAsia" w:hAnsi="宋体"/>
          <w:color w:val="auto"/>
          <w:sz w:val="21"/>
          <w:szCs w:val="21"/>
          <w:highlight w:val="none"/>
          <w:u w:val="single"/>
        </w:rPr>
        <w:t xml:space="preserve">    </w:t>
      </w:r>
      <w:r>
        <w:rPr>
          <w:rFonts w:hint="eastAsia" w:hAnsi="宋体"/>
          <w:color w:val="auto"/>
          <w:sz w:val="21"/>
          <w:szCs w:val="21"/>
          <w:highlight w:val="none"/>
        </w:rPr>
        <w:t>月</w:t>
      </w:r>
      <w:r>
        <w:rPr>
          <w:rFonts w:hint="eastAsia" w:hAnsi="宋体"/>
          <w:color w:val="auto"/>
          <w:sz w:val="21"/>
          <w:szCs w:val="21"/>
          <w:highlight w:val="none"/>
          <w:u w:val="single"/>
        </w:rPr>
        <w:t xml:space="preserve">    </w:t>
      </w:r>
      <w:r>
        <w:rPr>
          <w:rFonts w:hint="eastAsia" w:hAnsi="宋体"/>
          <w:color w:val="auto"/>
          <w:sz w:val="21"/>
          <w:szCs w:val="21"/>
          <w:highlight w:val="none"/>
        </w:rPr>
        <w:t>日前以</w:t>
      </w:r>
      <w:r>
        <w:rPr>
          <w:rFonts w:hint="eastAsia" w:hAnsi="宋体"/>
          <w:color w:val="auto"/>
          <w:sz w:val="21"/>
          <w:szCs w:val="21"/>
          <w:highlight w:val="none"/>
          <w:u w:val="single"/>
        </w:rPr>
        <w:t xml:space="preserve">    （付款形式）  </w:t>
      </w:r>
      <w:r>
        <w:rPr>
          <w:rFonts w:hint="eastAsia" w:hAnsi="宋体"/>
          <w:color w:val="auto"/>
          <w:sz w:val="21"/>
          <w:szCs w:val="21"/>
          <w:highlight w:val="none"/>
        </w:rPr>
        <w:t>方式汇入指定帐户（帐户名称：</w:t>
      </w:r>
      <w:r>
        <w:rPr>
          <w:rFonts w:hint="eastAsia" w:hAnsi="宋体"/>
          <w:color w:val="auto"/>
          <w:sz w:val="21"/>
          <w:szCs w:val="21"/>
          <w:highlight w:val="none"/>
          <w:u w:val="single"/>
        </w:rPr>
        <w:t xml:space="preserve">        </w:t>
      </w:r>
      <w:r>
        <w:rPr>
          <w:rFonts w:hint="eastAsia" w:hAnsi="宋体"/>
          <w:color w:val="auto"/>
          <w:sz w:val="21"/>
          <w:szCs w:val="21"/>
          <w:highlight w:val="none"/>
        </w:rPr>
        <w:t xml:space="preserve">，帐号 </w:t>
      </w:r>
      <w:r>
        <w:rPr>
          <w:rFonts w:hint="eastAsia" w:hAnsi="宋体"/>
          <w:color w:val="auto"/>
          <w:sz w:val="21"/>
          <w:szCs w:val="21"/>
          <w:highlight w:val="none"/>
          <w:u w:val="single"/>
        </w:rPr>
        <w:t xml:space="preserve">       </w:t>
      </w:r>
      <w:r>
        <w:rPr>
          <w:rFonts w:hint="eastAsia" w:hAnsi="宋体"/>
          <w:color w:val="auto"/>
          <w:sz w:val="21"/>
          <w:szCs w:val="21"/>
          <w:highlight w:val="none"/>
        </w:rPr>
        <w:t xml:space="preserve"> ,开户银行：</w:t>
      </w:r>
      <w:r>
        <w:rPr>
          <w:rFonts w:hint="eastAsia" w:hAnsi="宋体"/>
          <w:color w:val="auto"/>
          <w:sz w:val="21"/>
          <w:szCs w:val="21"/>
          <w:highlight w:val="none"/>
          <w:u w:val="single"/>
        </w:rPr>
        <w:t xml:space="preserve">             </w:t>
      </w:r>
      <w:r>
        <w:rPr>
          <w:rFonts w:hint="eastAsia" w:hAnsi="宋体"/>
          <w:color w:val="auto"/>
          <w:sz w:val="21"/>
          <w:szCs w:val="21"/>
          <w:highlight w:val="none"/>
        </w:rPr>
        <w:t>）。</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本单位投标保证金的汇款情况：（详见附件－投标保证金进帐单）</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汇出时间：</w:t>
      </w:r>
      <w:r>
        <w:rPr>
          <w:rFonts w:hint="eastAsia" w:hAnsi="宋体"/>
          <w:color w:val="auto"/>
          <w:sz w:val="21"/>
          <w:szCs w:val="21"/>
          <w:highlight w:val="none"/>
          <w:u w:val="single"/>
        </w:rPr>
        <w:t xml:space="preserve">    </w:t>
      </w:r>
      <w:r>
        <w:rPr>
          <w:rFonts w:hint="eastAsia" w:hAnsi="宋体"/>
          <w:color w:val="auto"/>
          <w:sz w:val="21"/>
          <w:szCs w:val="21"/>
          <w:highlight w:val="none"/>
        </w:rPr>
        <w:t>年</w:t>
      </w:r>
      <w:r>
        <w:rPr>
          <w:rFonts w:hint="eastAsia" w:hAnsi="宋体"/>
          <w:color w:val="auto"/>
          <w:sz w:val="21"/>
          <w:szCs w:val="21"/>
          <w:highlight w:val="none"/>
          <w:u w:val="single"/>
        </w:rPr>
        <w:t xml:space="preserve">    </w:t>
      </w:r>
      <w:r>
        <w:rPr>
          <w:rFonts w:hint="eastAsia" w:hAnsi="宋体"/>
          <w:color w:val="auto"/>
          <w:sz w:val="21"/>
          <w:szCs w:val="21"/>
          <w:highlight w:val="none"/>
        </w:rPr>
        <w:t>月</w:t>
      </w:r>
      <w:r>
        <w:rPr>
          <w:rFonts w:hint="eastAsia" w:hAnsi="宋体"/>
          <w:color w:val="auto"/>
          <w:sz w:val="21"/>
          <w:szCs w:val="21"/>
          <w:highlight w:val="none"/>
          <w:u w:val="single"/>
        </w:rPr>
        <w:t xml:space="preserve">    </w:t>
      </w:r>
      <w:r>
        <w:rPr>
          <w:rFonts w:hint="eastAsia" w:hAnsi="宋体"/>
          <w:color w:val="auto"/>
          <w:sz w:val="21"/>
          <w:szCs w:val="21"/>
          <w:highlight w:val="none"/>
        </w:rPr>
        <w:t>日</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汇款金额：（大写）人民币</w:t>
      </w:r>
      <w:r>
        <w:rPr>
          <w:rFonts w:hint="eastAsia" w:hAnsi="宋体"/>
          <w:color w:val="auto"/>
          <w:sz w:val="21"/>
          <w:szCs w:val="21"/>
          <w:highlight w:val="none"/>
          <w:u w:val="single"/>
        </w:rPr>
        <w:t xml:space="preserve">       </w:t>
      </w:r>
      <w:r>
        <w:rPr>
          <w:rFonts w:hint="eastAsia" w:hAnsi="宋体"/>
          <w:color w:val="auto"/>
          <w:sz w:val="21"/>
          <w:szCs w:val="21"/>
          <w:highlight w:val="none"/>
        </w:rPr>
        <w:t>元（小写：￥</w:t>
      </w:r>
      <w:r>
        <w:rPr>
          <w:rFonts w:hint="eastAsia" w:hAnsi="宋体"/>
          <w:color w:val="auto"/>
          <w:sz w:val="21"/>
          <w:szCs w:val="21"/>
          <w:highlight w:val="none"/>
          <w:u w:val="single"/>
        </w:rPr>
        <w:t xml:space="preserve">      </w:t>
      </w:r>
      <w:r>
        <w:rPr>
          <w:rFonts w:hint="eastAsia" w:hAnsi="宋体"/>
          <w:color w:val="auto"/>
          <w:sz w:val="21"/>
          <w:szCs w:val="21"/>
          <w:highlight w:val="none"/>
        </w:rPr>
        <w:t>元）</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汇款帐户名称：</w:t>
      </w:r>
      <w:r>
        <w:rPr>
          <w:rFonts w:hint="eastAsia" w:hAnsi="宋体"/>
          <w:color w:val="auto"/>
          <w:sz w:val="21"/>
          <w:szCs w:val="21"/>
          <w:highlight w:val="none"/>
          <w:u w:val="single"/>
        </w:rPr>
        <w:t xml:space="preserve">  （必须是投标时使用的帐户名）   </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帐    号：</w:t>
      </w:r>
      <w:r>
        <w:rPr>
          <w:rFonts w:hint="eastAsia" w:hAnsi="宋体"/>
          <w:color w:val="auto"/>
          <w:sz w:val="21"/>
          <w:szCs w:val="21"/>
          <w:highlight w:val="none"/>
          <w:u w:val="single"/>
        </w:rPr>
        <w:t xml:space="preserve">      （必须是投标时使用的帐号）     </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开户银行：</w:t>
      </w:r>
      <w:r>
        <w:rPr>
          <w:rFonts w:hint="eastAsia" w:hAnsi="宋体"/>
          <w:color w:val="auto"/>
          <w:sz w:val="21"/>
          <w:szCs w:val="21"/>
          <w:highlight w:val="none"/>
          <w:u w:val="single"/>
        </w:rPr>
        <w:t xml:space="preserve">         省    市                    </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本单位谨承诺上述资料是正确、真实的，如因上述证明与事实不符导致的一切损失，本单位保证承担赔偿等一切法律责任。</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投标保证金退回时，请按上述资料退回。</w:t>
      </w:r>
    </w:p>
    <w:p>
      <w:pPr>
        <w:spacing w:line="360" w:lineRule="auto"/>
        <w:ind w:right="965" w:rightChars="402"/>
        <w:jc w:val="right"/>
        <w:rPr>
          <w:rFonts w:hAnsi="宋体"/>
          <w:color w:val="auto"/>
          <w:sz w:val="21"/>
          <w:szCs w:val="21"/>
          <w:highlight w:val="none"/>
        </w:rPr>
      </w:pPr>
      <w:r>
        <w:rPr>
          <w:rFonts w:hint="eastAsia" w:hAnsi="宋体"/>
          <w:color w:val="auto"/>
          <w:sz w:val="21"/>
          <w:szCs w:val="21"/>
          <w:highlight w:val="none"/>
        </w:rPr>
        <w:t>（单位公章）</w:t>
      </w:r>
    </w:p>
    <w:p>
      <w:pPr>
        <w:spacing w:line="360" w:lineRule="auto"/>
        <w:ind w:right="718" w:rightChars="299"/>
        <w:jc w:val="right"/>
        <w:rPr>
          <w:rFonts w:hAnsi="宋体"/>
          <w:color w:val="auto"/>
          <w:sz w:val="21"/>
          <w:szCs w:val="21"/>
          <w:highlight w:val="none"/>
        </w:rPr>
      </w:pPr>
      <w:r>
        <w:rPr>
          <w:rFonts w:hint="eastAsia" w:hAnsi="宋体"/>
          <w:color w:val="auto"/>
          <w:sz w:val="21"/>
          <w:szCs w:val="21"/>
          <w:highlight w:val="none"/>
        </w:rPr>
        <w:t>年  月  日</w:t>
      </w:r>
    </w:p>
    <w:p>
      <w:pPr>
        <w:spacing w:line="360" w:lineRule="auto"/>
        <w:rPr>
          <w:rFonts w:hAnsi="宋体"/>
          <w:color w:val="auto"/>
          <w:sz w:val="21"/>
          <w:szCs w:val="21"/>
          <w:highlight w:val="none"/>
        </w:rPr>
      </w:pPr>
      <w:r>
        <w:rPr>
          <w:rFonts w:hint="eastAsia" w:hAnsi="宋体"/>
          <w:color w:val="auto"/>
          <w:sz w:val="21"/>
          <w:szCs w:val="21"/>
          <w:highlight w:val="none"/>
        </w:rPr>
        <w:t>单位名称：</w:t>
      </w:r>
      <w:r>
        <w:rPr>
          <w:rFonts w:hint="eastAsia" w:hAnsi="宋体"/>
          <w:color w:val="auto"/>
          <w:sz w:val="21"/>
          <w:szCs w:val="21"/>
          <w:highlight w:val="none"/>
          <w:u w:val="single"/>
        </w:rPr>
        <w:t xml:space="preserve">                   </w:t>
      </w:r>
    </w:p>
    <w:p>
      <w:pPr>
        <w:spacing w:line="360" w:lineRule="auto"/>
        <w:rPr>
          <w:rFonts w:hAnsi="宋体"/>
          <w:color w:val="auto"/>
          <w:sz w:val="21"/>
          <w:szCs w:val="21"/>
          <w:highlight w:val="none"/>
        </w:rPr>
      </w:pPr>
      <w:r>
        <w:rPr>
          <w:rFonts w:hint="eastAsia" w:hAnsi="宋体"/>
          <w:color w:val="auto"/>
          <w:sz w:val="21"/>
          <w:szCs w:val="21"/>
          <w:highlight w:val="none"/>
        </w:rPr>
        <w:t>单位地址：</w:t>
      </w:r>
      <w:r>
        <w:rPr>
          <w:rFonts w:hint="eastAsia" w:hAnsi="宋体"/>
          <w:color w:val="auto"/>
          <w:sz w:val="21"/>
          <w:szCs w:val="21"/>
          <w:highlight w:val="none"/>
          <w:u w:val="single"/>
        </w:rPr>
        <w:t xml:space="preserve">                   </w:t>
      </w:r>
    </w:p>
    <w:p>
      <w:pPr>
        <w:spacing w:line="360" w:lineRule="auto"/>
        <w:rPr>
          <w:rFonts w:hAnsi="宋体"/>
          <w:color w:val="auto"/>
          <w:sz w:val="21"/>
          <w:szCs w:val="21"/>
          <w:highlight w:val="none"/>
        </w:rPr>
      </w:pPr>
      <w:r>
        <w:rPr>
          <w:rFonts w:hint="eastAsia" w:hAnsi="宋体"/>
          <w:color w:val="auto"/>
          <w:sz w:val="21"/>
          <w:szCs w:val="21"/>
          <w:highlight w:val="none"/>
        </w:rPr>
        <w:t>联系人：</w:t>
      </w:r>
      <w:r>
        <w:rPr>
          <w:rFonts w:hint="eastAsia" w:hAnsi="宋体"/>
          <w:color w:val="auto"/>
          <w:sz w:val="21"/>
          <w:szCs w:val="21"/>
          <w:highlight w:val="none"/>
          <w:u w:val="single"/>
        </w:rPr>
        <w:t xml:space="preserve">                     </w:t>
      </w:r>
    </w:p>
    <w:p>
      <w:pPr>
        <w:spacing w:line="360" w:lineRule="auto"/>
        <w:rPr>
          <w:rFonts w:hAnsi="宋体"/>
          <w:color w:val="auto"/>
          <w:sz w:val="21"/>
          <w:szCs w:val="21"/>
          <w:highlight w:val="none"/>
        </w:rPr>
      </w:pPr>
      <w:r>
        <w:rPr>
          <w:rFonts w:hint="eastAsia" w:hAnsi="宋体"/>
          <w:color w:val="auto"/>
          <w:sz w:val="21"/>
          <w:szCs w:val="21"/>
          <w:highlight w:val="none"/>
        </w:rPr>
        <w:t>单位电话：</w:t>
      </w:r>
      <w:r>
        <w:rPr>
          <w:rFonts w:hint="eastAsia" w:hAnsi="宋体"/>
          <w:color w:val="auto"/>
          <w:sz w:val="21"/>
          <w:szCs w:val="21"/>
          <w:highlight w:val="none"/>
          <w:u w:val="single"/>
        </w:rPr>
        <w:t xml:space="preserve">                  </w:t>
      </w:r>
      <w:r>
        <w:rPr>
          <w:rFonts w:hint="eastAsia" w:hAnsi="宋体"/>
          <w:color w:val="auto"/>
          <w:sz w:val="21"/>
          <w:szCs w:val="21"/>
          <w:highlight w:val="none"/>
        </w:rPr>
        <w:t xml:space="preserve"> </w:t>
      </w:r>
    </w:p>
    <w:p>
      <w:pPr>
        <w:spacing w:line="360" w:lineRule="auto"/>
        <w:rPr>
          <w:rFonts w:hAnsi="宋体"/>
          <w:color w:val="auto"/>
          <w:sz w:val="21"/>
          <w:szCs w:val="21"/>
          <w:highlight w:val="none"/>
        </w:rPr>
      </w:pPr>
      <w:r>
        <w:rPr>
          <w:rFonts w:hint="eastAsia" w:hAnsi="宋体"/>
          <w:color w:val="auto"/>
          <w:sz w:val="21"/>
          <w:szCs w:val="21"/>
          <w:highlight w:val="none"/>
        </w:rPr>
        <w:t>联系人手机：</w:t>
      </w:r>
      <w:r>
        <w:rPr>
          <w:rFonts w:hint="eastAsia" w:hAnsi="宋体"/>
          <w:color w:val="auto"/>
          <w:sz w:val="21"/>
          <w:szCs w:val="21"/>
          <w:highlight w:val="none"/>
          <w:u w:val="single"/>
        </w:rPr>
        <w:t xml:space="preserve">                </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附：我方投标保证金汇款凭证</w:t>
      </w:r>
    </w:p>
    <w:tbl>
      <w:tblPr>
        <w:tblStyle w:val="48"/>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43" w:hRule="atLeast"/>
        </w:trPr>
        <w:tc>
          <w:tcPr>
            <w:tcW w:w="9179" w:type="dxa"/>
            <w:vAlign w:val="center"/>
          </w:tcPr>
          <w:p>
            <w:pPr>
              <w:tabs>
                <w:tab w:val="left" w:pos="3885"/>
              </w:tabs>
              <w:spacing w:line="360" w:lineRule="auto"/>
              <w:jc w:val="center"/>
              <w:rPr>
                <w:rFonts w:hAnsi="宋体"/>
                <w:color w:val="auto"/>
                <w:sz w:val="21"/>
                <w:szCs w:val="21"/>
                <w:highlight w:val="none"/>
              </w:rPr>
            </w:pPr>
            <w:r>
              <w:rPr>
                <w:rFonts w:hint="eastAsia" w:hAnsi="宋体"/>
                <w:color w:val="auto"/>
                <w:sz w:val="21"/>
                <w:szCs w:val="21"/>
                <w:highlight w:val="none"/>
              </w:rPr>
              <w:t>（粘贴汇款单或转账</w:t>
            </w:r>
            <w:r>
              <w:rPr>
                <w:rFonts w:hAnsi="宋体"/>
                <w:color w:val="auto"/>
                <w:sz w:val="21"/>
                <w:szCs w:val="21"/>
                <w:highlight w:val="none"/>
              </w:rPr>
              <w:t>凭证</w:t>
            </w:r>
            <w:r>
              <w:rPr>
                <w:rFonts w:hint="eastAsia" w:hAnsi="宋体"/>
                <w:color w:val="auto"/>
                <w:sz w:val="21"/>
                <w:szCs w:val="21"/>
                <w:highlight w:val="none"/>
              </w:rPr>
              <w:t>复印件，并在骑缝上加盖公章，或是直接把转账</w:t>
            </w:r>
            <w:r>
              <w:rPr>
                <w:rFonts w:hAnsi="宋体"/>
                <w:color w:val="auto"/>
                <w:sz w:val="21"/>
                <w:szCs w:val="21"/>
                <w:highlight w:val="none"/>
              </w:rPr>
              <w:t>凭证</w:t>
            </w:r>
            <w:r>
              <w:rPr>
                <w:rFonts w:hint="eastAsia" w:hAnsi="宋体"/>
                <w:color w:val="auto"/>
                <w:sz w:val="21"/>
                <w:szCs w:val="21"/>
                <w:highlight w:val="none"/>
              </w:rPr>
              <w:t>复印到此张纸上）</w:t>
            </w:r>
          </w:p>
        </w:tc>
      </w:tr>
    </w:tbl>
    <w:p>
      <w:pPr>
        <w:spacing w:line="360" w:lineRule="auto"/>
        <w:rPr>
          <w:rFonts w:hAnsi="宋体"/>
          <w:color w:val="auto"/>
          <w:sz w:val="21"/>
          <w:szCs w:val="21"/>
          <w:highlight w:val="none"/>
        </w:rPr>
      </w:pPr>
    </w:p>
    <w:p>
      <w:pPr>
        <w:spacing w:line="360" w:lineRule="auto"/>
        <w:rPr>
          <w:rFonts w:hAnsi="宋体"/>
          <w:color w:val="auto"/>
          <w:sz w:val="21"/>
          <w:szCs w:val="21"/>
          <w:highlight w:val="none"/>
        </w:rPr>
      </w:pPr>
      <w:r>
        <w:rPr>
          <w:rFonts w:hint="eastAsia" w:hAnsi="宋体"/>
          <w:color w:val="auto"/>
          <w:sz w:val="21"/>
          <w:szCs w:val="21"/>
          <w:highlight w:val="none"/>
        </w:rPr>
        <w:t>注：投标保证金以《政府采购投标担保函》提交的，无需填写“投标保证金汇入情况说明”，只需提供《政府采购投标担保函》复印件。</w:t>
      </w:r>
    </w:p>
    <w:p>
      <w:pPr>
        <w:pStyle w:val="4"/>
        <w:pageBreakBefore/>
        <w:numPr>
          <w:ilvl w:val="0"/>
          <w:numId w:val="28"/>
        </w:numPr>
        <w:spacing w:line="360" w:lineRule="auto"/>
        <w:jc w:val="center"/>
        <w:rPr>
          <w:rFonts w:hAnsi="宋体"/>
          <w:b/>
          <w:color w:val="auto"/>
          <w:highlight w:val="none"/>
        </w:rPr>
      </w:pPr>
      <w:bookmarkStart w:id="113" w:name="_Toc17366"/>
      <w:r>
        <w:rPr>
          <w:rFonts w:hint="eastAsia" w:hAnsi="宋体"/>
          <w:b/>
          <w:color w:val="auto"/>
          <w:highlight w:val="none"/>
        </w:rPr>
        <w:t>提供具有独立承担民事责任的能力的证明材料</w:t>
      </w:r>
      <w:bookmarkEnd w:id="113"/>
    </w:p>
    <w:p>
      <w:pPr>
        <w:spacing w:line="360" w:lineRule="auto"/>
        <w:rPr>
          <w:rFonts w:hAnsi="宋体"/>
          <w:color w:val="auto"/>
          <w:sz w:val="21"/>
          <w:szCs w:val="21"/>
          <w:highlight w:val="none"/>
        </w:rPr>
      </w:pPr>
    </w:p>
    <w:p>
      <w:pPr>
        <w:spacing w:line="360" w:lineRule="auto"/>
        <w:rPr>
          <w:rFonts w:hAnsi="宋体"/>
          <w:color w:val="auto"/>
          <w:sz w:val="21"/>
          <w:szCs w:val="21"/>
          <w:highlight w:val="none"/>
        </w:rPr>
      </w:pPr>
      <w:r>
        <w:rPr>
          <w:rFonts w:hint="eastAsia" w:hAnsi="宋体"/>
          <w:color w:val="auto"/>
          <w:sz w:val="21"/>
          <w:szCs w:val="21"/>
          <w:highlight w:val="none"/>
        </w:rPr>
        <w:t>注：投标供应商应按</w:t>
      </w:r>
      <w:r>
        <w:rPr>
          <w:rFonts w:hint="eastAsia" w:hAnsi="宋体"/>
          <w:b/>
          <w:color w:val="auto"/>
          <w:sz w:val="21"/>
          <w:szCs w:val="21"/>
          <w:highlight w:val="none"/>
        </w:rPr>
        <w:t>资格条件</w:t>
      </w:r>
      <w:r>
        <w:rPr>
          <w:rFonts w:hint="eastAsia" w:hAnsi="宋体"/>
          <w:color w:val="auto"/>
          <w:sz w:val="21"/>
          <w:szCs w:val="21"/>
          <w:highlight w:val="none"/>
        </w:rPr>
        <w:t>进行填写</w:t>
      </w:r>
    </w:p>
    <w:p>
      <w:pPr>
        <w:spacing w:line="360" w:lineRule="auto"/>
        <w:rPr>
          <w:rFonts w:hAnsi="宋体"/>
          <w:b/>
          <w:color w:val="auto"/>
          <w:sz w:val="21"/>
          <w:szCs w:val="21"/>
          <w:highlight w:val="none"/>
        </w:rPr>
      </w:pPr>
    </w:p>
    <w:p>
      <w:pPr>
        <w:spacing w:line="360" w:lineRule="auto"/>
        <w:rPr>
          <w:rFonts w:hAnsi="宋体"/>
          <w:b/>
          <w:color w:val="auto"/>
          <w:sz w:val="21"/>
          <w:szCs w:val="21"/>
          <w:highlight w:val="none"/>
        </w:rPr>
      </w:pPr>
    </w:p>
    <w:p>
      <w:pPr>
        <w:spacing w:line="360" w:lineRule="auto"/>
        <w:rPr>
          <w:rFonts w:hAnsi="宋体"/>
          <w:b/>
          <w:color w:val="auto"/>
          <w:sz w:val="21"/>
          <w:szCs w:val="21"/>
          <w:highlight w:val="none"/>
        </w:rPr>
      </w:pPr>
    </w:p>
    <w:p>
      <w:pPr>
        <w:pStyle w:val="4"/>
        <w:pageBreakBefore/>
        <w:numPr>
          <w:ilvl w:val="0"/>
          <w:numId w:val="28"/>
        </w:numPr>
        <w:spacing w:line="360" w:lineRule="auto"/>
        <w:jc w:val="center"/>
        <w:rPr>
          <w:rFonts w:hAnsi="宋体"/>
          <w:b/>
          <w:color w:val="auto"/>
          <w:highlight w:val="none"/>
        </w:rPr>
      </w:pPr>
      <w:bookmarkStart w:id="114" w:name="_Toc9858"/>
      <w:r>
        <w:rPr>
          <w:rFonts w:hint="eastAsia" w:hAnsi="宋体"/>
          <w:b/>
          <w:color w:val="auto"/>
          <w:highlight w:val="none"/>
        </w:rPr>
        <w:t>资格性审查要求的其他资质证明文件</w:t>
      </w:r>
      <w:bookmarkEnd w:id="114"/>
    </w:p>
    <w:p>
      <w:pPr>
        <w:spacing w:line="360" w:lineRule="auto"/>
        <w:rPr>
          <w:rFonts w:hAnsi="宋体"/>
          <w:color w:val="auto"/>
          <w:sz w:val="21"/>
          <w:szCs w:val="21"/>
          <w:highlight w:val="none"/>
        </w:rPr>
      </w:pPr>
    </w:p>
    <w:p>
      <w:pPr>
        <w:spacing w:line="360" w:lineRule="auto"/>
        <w:rPr>
          <w:rFonts w:hAnsi="宋体"/>
          <w:color w:val="auto"/>
          <w:sz w:val="21"/>
          <w:szCs w:val="21"/>
          <w:highlight w:val="none"/>
        </w:rPr>
      </w:pPr>
      <w:r>
        <w:rPr>
          <w:rFonts w:hint="eastAsia" w:hAnsi="宋体"/>
          <w:color w:val="auto"/>
          <w:sz w:val="21"/>
          <w:szCs w:val="21"/>
          <w:highlight w:val="none"/>
        </w:rPr>
        <w:t>详见资格性条款要求</w:t>
      </w:r>
    </w:p>
    <w:p>
      <w:pPr>
        <w:spacing w:line="360" w:lineRule="auto"/>
        <w:rPr>
          <w:rFonts w:hAnsi="宋体"/>
          <w:color w:val="auto"/>
          <w:sz w:val="21"/>
          <w:szCs w:val="21"/>
          <w:highlight w:val="none"/>
        </w:rPr>
      </w:pPr>
      <w:r>
        <w:rPr>
          <w:rFonts w:hint="eastAsia" w:hAnsi="宋体"/>
          <w:color w:val="auto"/>
          <w:sz w:val="21"/>
          <w:szCs w:val="21"/>
          <w:highlight w:val="none"/>
        </w:rPr>
        <w:t>设备及专业技术能力情况表</w:t>
      </w:r>
    </w:p>
    <w:p>
      <w:pPr>
        <w:spacing w:line="360" w:lineRule="auto"/>
        <w:rPr>
          <w:rFonts w:hAnsi="宋体"/>
          <w:b/>
          <w:color w:val="auto"/>
          <w:sz w:val="21"/>
          <w:szCs w:val="21"/>
          <w:highlight w:val="none"/>
        </w:rPr>
      </w:pPr>
    </w:p>
    <w:tbl>
      <w:tblPr>
        <w:tblStyle w:val="48"/>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61"/>
        <w:gridCol w:w="4610"/>
        <w:gridCol w:w="2311"/>
        <w:gridCol w:w="11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gridSpan w:val="4"/>
            <w:vAlign w:val="center"/>
          </w:tcPr>
          <w:p>
            <w:pPr>
              <w:autoSpaceDE/>
              <w:autoSpaceDN/>
              <w:adjustRightInd/>
              <w:spacing w:line="360" w:lineRule="exact"/>
              <w:jc w:val="center"/>
              <w:rPr>
                <w:rFonts w:hAnsi="宋体" w:cs="宋体"/>
                <w:b/>
                <w:color w:val="auto"/>
                <w:sz w:val="21"/>
                <w:szCs w:val="21"/>
                <w:highlight w:val="none"/>
              </w:rPr>
            </w:pPr>
            <w:r>
              <w:rPr>
                <w:rFonts w:hint="eastAsia" w:hAnsi="宋体" w:cs="宋体"/>
                <w:b/>
                <w:color w:val="auto"/>
                <w:sz w:val="21"/>
                <w:szCs w:val="21"/>
                <w:highlight w:val="none"/>
              </w:rPr>
              <w:t>我单位为本项目实施提供以下设备和专业技术人员：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8" w:type="pct"/>
            <w:vAlign w:val="center"/>
          </w:tcPr>
          <w:p>
            <w:pPr>
              <w:autoSpaceDE/>
              <w:autoSpaceDN/>
              <w:adjustRightInd/>
              <w:spacing w:line="360" w:lineRule="exact"/>
              <w:jc w:val="center"/>
              <w:rPr>
                <w:rFonts w:hAnsi="宋体" w:cs="宋体"/>
                <w:b/>
                <w:color w:val="auto"/>
                <w:sz w:val="21"/>
                <w:szCs w:val="21"/>
                <w:highlight w:val="none"/>
              </w:rPr>
            </w:pPr>
            <w:r>
              <w:rPr>
                <w:rFonts w:hint="eastAsia" w:hAnsi="宋体" w:cs="宋体"/>
                <w:b/>
                <w:color w:val="auto"/>
                <w:sz w:val="21"/>
                <w:szCs w:val="21"/>
                <w:highlight w:val="none"/>
              </w:rPr>
              <w:t>序号</w:t>
            </w:r>
          </w:p>
        </w:tc>
        <w:tc>
          <w:tcPr>
            <w:tcW w:w="2494" w:type="pct"/>
            <w:vAlign w:val="center"/>
          </w:tcPr>
          <w:p>
            <w:pPr>
              <w:autoSpaceDE/>
              <w:autoSpaceDN/>
              <w:adjustRightInd/>
              <w:spacing w:line="360" w:lineRule="exact"/>
              <w:jc w:val="center"/>
              <w:rPr>
                <w:rFonts w:hAnsi="宋体" w:cs="宋体"/>
                <w:b/>
                <w:color w:val="auto"/>
                <w:sz w:val="21"/>
                <w:szCs w:val="21"/>
                <w:highlight w:val="none"/>
              </w:rPr>
            </w:pPr>
            <w:r>
              <w:rPr>
                <w:rFonts w:hint="eastAsia" w:hAnsi="宋体" w:cs="宋体"/>
                <w:b/>
                <w:color w:val="auto"/>
                <w:sz w:val="21"/>
                <w:szCs w:val="21"/>
                <w:highlight w:val="none"/>
              </w:rPr>
              <w:t>设备名称或专业技术人员</w:t>
            </w:r>
          </w:p>
        </w:tc>
        <w:tc>
          <w:tcPr>
            <w:tcW w:w="1250" w:type="pct"/>
            <w:vAlign w:val="center"/>
          </w:tcPr>
          <w:p>
            <w:pPr>
              <w:autoSpaceDE/>
              <w:autoSpaceDN/>
              <w:adjustRightInd/>
              <w:spacing w:line="360" w:lineRule="exact"/>
              <w:jc w:val="center"/>
              <w:rPr>
                <w:rFonts w:hAnsi="宋体" w:cs="宋体"/>
                <w:b/>
                <w:color w:val="auto"/>
                <w:sz w:val="21"/>
                <w:szCs w:val="21"/>
                <w:highlight w:val="none"/>
              </w:rPr>
            </w:pPr>
            <w:r>
              <w:rPr>
                <w:rFonts w:hint="eastAsia" w:hAnsi="宋体" w:cs="宋体"/>
                <w:b/>
                <w:color w:val="auto"/>
                <w:sz w:val="21"/>
                <w:szCs w:val="21"/>
                <w:highlight w:val="none"/>
              </w:rPr>
              <w:t>数量及单位</w:t>
            </w:r>
          </w:p>
        </w:tc>
        <w:tc>
          <w:tcPr>
            <w:tcW w:w="628" w:type="pct"/>
            <w:vAlign w:val="center"/>
          </w:tcPr>
          <w:p>
            <w:pPr>
              <w:autoSpaceDE/>
              <w:autoSpaceDN/>
              <w:adjustRightInd/>
              <w:spacing w:line="360" w:lineRule="exact"/>
              <w:jc w:val="center"/>
              <w:rPr>
                <w:rFonts w:hAnsi="宋体" w:cs="宋体"/>
                <w:b/>
                <w:color w:val="auto"/>
                <w:sz w:val="21"/>
                <w:szCs w:val="21"/>
                <w:highlight w:val="none"/>
              </w:rPr>
            </w:pPr>
            <w:r>
              <w:rPr>
                <w:rFonts w:hint="eastAsia" w:hAnsi="宋体" w:cs="宋体"/>
                <w:b/>
                <w:color w:val="auto"/>
                <w:sz w:val="21"/>
                <w:szCs w:val="21"/>
                <w:highlight w:val="none"/>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8" w:type="pct"/>
            <w:vAlign w:val="center"/>
          </w:tcPr>
          <w:p>
            <w:pPr>
              <w:autoSpaceDE/>
              <w:autoSpaceDN/>
              <w:adjustRightInd/>
              <w:spacing w:line="40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1</w:t>
            </w:r>
          </w:p>
        </w:tc>
        <w:tc>
          <w:tcPr>
            <w:tcW w:w="2494" w:type="pct"/>
            <w:vAlign w:val="center"/>
          </w:tcPr>
          <w:p>
            <w:pPr>
              <w:autoSpaceDE/>
              <w:autoSpaceDN/>
              <w:adjustRightInd/>
              <w:spacing w:line="400" w:lineRule="exact"/>
              <w:jc w:val="center"/>
              <w:rPr>
                <w:rFonts w:hAnsi="宋体" w:cs="宋体"/>
                <w:color w:val="auto"/>
                <w:kern w:val="2"/>
                <w:sz w:val="21"/>
                <w:szCs w:val="21"/>
                <w:highlight w:val="none"/>
              </w:rPr>
            </w:pPr>
          </w:p>
        </w:tc>
        <w:tc>
          <w:tcPr>
            <w:tcW w:w="1250" w:type="pct"/>
            <w:vAlign w:val="center"/>
          </w:tcPr>
          <w:p>
            <w:pPr>
              <w:autoSpaceDE/>
              <w:autoSpaceDN/>
              <w:adjustRightInd/>
              <w:spacing w:line="400" w:lineRule="exact"/>
              <w:jc w:val="center"/>
              <w:rPr>
                <w:rFonts w:hAnsi="宋体" w:cs="宋体"/>
                <w:color w:val="auto"/>
                <w:kern w:val="2"/>
                <w:sz w:val="21"/>
                <w:szCs w:val="21"/>
                <w:highlight w:val="none"/>
              </w:rPr>
            </w:pPr>
          </w:p>
        </w:tc>
        <w:tc>
          <w:tcPr>
            <w:tcW w:w="628" w:type="pct"/>
            <w:vAlign w:val="center"/>
          </w:tcPr>
          <w:p>
            <w:pPr>
              <w:autoSpaceDE/>
              <w:autoSpaceDN/>
              <w:adjustRightInd/>
              <w:spacing w:line="400" w:lineRule="exact"/>
              <w:jc w:val="center"/>
              <w:rPr>
                <w:rFonts w:hAnsi="宋体" w:cs="宋体"/>
                <w:color w:val="auto"/>
                <w:kern w:val="2"/>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8" w:type="pct"/>
            <w:vAlign w:val="center"/>
          </w:tcPr>
          <w:p>
            <w:pPr>
              <w:autoSpaceDE/>
              <w:autoSpaceDN/>
              <w:adjustRightInd/>
              <w:spacing w:line="40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2</w:t>
            </w:r>
          </w:p>
        </w:tc>
        <w:tc>
          <w:tcPr>
            <w:tcW w:w="2494" w:type="pct"/>
            <w:vAlign w:val="center"/>
          </w:tcPr>
          <w:p>
            <w:pPr>
              <w:autoSpaceDE/>
              <w:autoSpaceDN/>
              <w:adjustRightInd/>
              <w:spacing w:line="400" w:lineRule="exact"/>
              <w:jc w:val="center"/>
              <w:rPr>
                <w:rFonts w:hAnsi="宋体" w:cs="宋体"/>
                <w:color w:val="auto"/>
                <w:kern w:val="2"/>
                <w:sz w:val="21"/>
                <w:szCs w:val="21"/>
                <w:highlight w:val="none"/>
              </w:rPr>
            </w:pPr>
          </w:p>
        </w:tc>
        <w:tc>
          <w:tcPr>
            <w:tcW w:w="1250" w:type="pct"/>
            <w:vAlign w:val="center"/>
          </w:tcPr>
          <w:p>
            <w:pPr>
              <w:autoSpaceDE/>
              <w:autoSpaceDN/>
              <w:adjustRightInd/>
              <w:spacing w:line="400" w:lineRule="exact"/>
              <w:jc w:val="center"/>
              <w:rPr>
                <w:rFonts w:hAnsi="宋体" w:cs="宋体"/>
                <w:color w:val="auto"/>
                <w:kern w:val="2"/>
                <w:sz w:val="21"/>
                <w:szCs w:val="21"/>
                <w:highlight w:val="none"/>
              </w:rPr>
            </w:pPr>
          </w:p>
        </w:tc>
        <w:tc>
          <w:tcPr>
            <w:tcW w:w="628" w:type="pct"/>
            <w:vAlign w:val="center"/>
          </w:tcPr>
          <w:p>
            <w:pPr>
              <w:autoSpaceDE/>
              <w:autoSpaceDN/>
              <w:adjustRightInd/>
              <w:spacing w:line="400" w:lineRule="exact"/>
              <w:jc w:val="center"/>
              <w:rPr>
                <w:rFonts w:hAnsi="宋体" w:cs="宋体"/>
                <w:color w:val="auto"/>
                <w:kern w:val="2"/>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8" w:type="pct"/>
            <w:vAlign w:val="center"/>
          </w:tcPr>
          <w:p>
            <w:pPr>
              <w:autoSpaceDE/>
              <w:autoSpaceDN/>
              <w:adjustRightInd/>
              <w:spacing w:line="40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3</w:t>
            </w:r>
          </w:p>
        </w:tc>
        <w:tc>
          <w:tcPr>
            <w:tcW w:w="2494" w:type="pct"/>
            <w:vAlign w:val="center"/>
          </w:tcPr>
          <w:p>
            <w:pPr>
              <w:autoSpaceDE/>
              <w:autoSpaceDN/>
              <w:adjustRightInd/>
              <w:spacing w:line="400" w:lineRule="exact"/>
              <w:jc w:val="center"/>
              <w:rPr>
                <w:rFonts w:hAnsi="宋体" w:cs="宋体"/>
                <w:color w:val="auto"/>
                <w:kern w:val="2"/>
                <w:sz w:val="21"/>
                <w:szCs w:val="21"/>
                <w:highlight w:val="none"/>
              </w:rPr>
            </w:pPr>
          </w:p>
        </w:tc>
        <w:tc>
          <w:tcPr>
            <w:tcW w:w="1250" w:type="pct"/>
            <w:vAlign w:val="center"/>
          </w:tcPr>
          <w:p>
            <w:pPr>
              <w:autoSpaceDE/>
              <w:autoSpaceDN/>
              <w:adjustRightInd/>
              <w:spacing w:line="400" w:lineRule="exact"/>
              <w:jc w:val="center"/>
              <w:rPr>
                <w:rFonts w:hAnsi="宋体" w:cs="宋体"/>
                <w:color w:val="auto"/>
                <w:kern w:val="2"/>
                <w:sz w:val="21"/>
                <w:szCs w:val="21"/>
                <w:highlight w:val="none"/>
              </w:rPr>
            </w:pPr>
          </w:p>
        </w:tc>
        <w:tc>
          <w:tcPr>
            <w:tcW w:w="628" w:type="pct"/>
            <w:vAlign w:val="center"/>
          </w:tcPr>
          <w:p>
            <w:pPr>
              <w:autoSpaceDE/>
              <w:autoSpaceDN/>
              <w:adjustRightInd/>
              <w:spacing w:line="400" w:lineRule="exact"/>
              <w:jc w:val="center"/>
              <w:rPr>
                <w:rFonts w:hAnsi="宋体" w:cs="宋体"/>
                <w:color w:val="auto"/>
                <w:kern w:val="2"/>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8" w:type="pct"/>
            <w:vAlign w:val="center"/>
          </w:tcPr>
          <w:p>
            <w:pPr>
              <w:autoSpaceDE/>
              <w:autoSpaceDN/>
              <w:adjustRightInd/>
              <w:spacing w:line="40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4</w:t>
            </w:r>
          </w:p>
        </w:tc>
        <w:tc>
          <w:tcPr>
            <w:tcW w:w="2494" w:type="pct"/>
            <w:vAlign w:val="center"/>
          </w:tcPr>
          <w:p>
            <w:pPr>
              <w:autoSpaceDE/>
              <w:autoSpaceDN/>
              <w:adjustRightInd/>
              <w:spacing w:line="400" w:lineRule="exact"/>
              <w:jc w:val="center"/>
              <w:rPr>
                <w:rFonts w:hAnsi="宋体" w:cs="宋体"/>
                <w:color w:val="auto"/>
                <w:kern w:val="2"/>
                <w:sz w:val="21"/>
                <w:szCs w:val="21"/>
                <w:highlight w:val="none"/>
              </w:rPr>
            </w:pPr>
          </w:p>
        </w:tc>
        <w:tc>
          <w:tcPr>
            <w:tcW w:w="1250" w:type="pct"/>
            <w:vAlign w:val="center"/>
          </w:tcPr>
          <w:p>
            <w:pPr>
              <w:autoSpaceDE/>
              <w:autoSpaceDN/>
              <w:adjustRightInd/>
              <w:spacing w:line="400" w:lineRule="exact"/>
              <w:jc w:val="center"/>
              <w:rPr>
                <w:rFonts w:hAnsi="宋体" w:cs="宋体"/>
                <w:color w:val="auto"/>
                <w:kern w:val="2"/>
                <w:sz w:val="21"/>
                <w:szCs w:val="21"/>
                <w:highlight w:val="none"/>
              </w:rPr>
            </w:pPr>
          </w:p>
        </w:tc>
        <w:tc>
          <w:tcPr>
            <w:tcW w:w="628" w:type="pct"/>
            <w:vAlign w:val="center"/>
          </w:tcPr>
          <w:p>
            <w:pPr>
              <w:autoSpaceDE/>
              <w:autoSpaceDN/>
              <w:adjustRightInd/>
              <w:spacing w:line="400" w:lineRule="exact"/>
              <w:jc w:val="center"/>
              <w:rPr>
                <w:rFonts w:hAnsi="宋体" w:cs="宋体"/>
                <w:color w:val="auto"/>
                <w:kern w:val="2"/>
                <w:sz w:val="21"/>
                <w:szCs w:val="21"/>
                <w:highlight w:val="none"/>
              </w:rPr>
            </w:pPr>
          </w:p>
        </w:tc>
      </w:tr>
    </w:tbl>
    <w:p>
      <w:pPr>
        <w:spacing w:line="360" w:lineRule="auto"/>
        <w:rPr>
          <w:rFonts w:hAnsi="宋体"/>
          <w:b/>
          <w:color w:val="auto"/>
          <w:sz w:val="21"/>
          <w:szCs w:val="21"/>
          <w:highlight w:val="none"/>
        </w:rPr>
      </w:pPr>
    </w:p>
    <w:p>
      <w:pPr>
        <w:spacing w:line="360" w:lineRule="auto"/>
        <w:rPr>
          <w:rFonts w:hAnsi="宋体"/>
          <w:b/>
          <w:color w:val="auto"/>
          <w:sz w:val="21"/>
          <w:szCs w:val="21"/>
          <w:highlight w:val="none"/>
        </w:rPr>
      </w:pPr>
      <w:r>
        <w:rPr>
          <w:rFonts w:hAnsi="宋体"/>
          <w:b/>
          <w:color w:val="auto"/>
          <w:sz w:val="21"/>
          <w:szCs w:val="21"/>
          <w:highlight w:val="none"/>
        </w:rPr>
        <w:br w:type="page"/>
      </w:r>
    </w:p>
    <w:p>
      <w:pPr>
        <w:pStyle w:val="5"/>
        <w:jc w:val="center"/>
        <w:rPr>
          <w:rFonts w:ascii="宋体" w:hAnsi="宋体" w:eastAsia="宋体" w:cs="宋体"/>
          <w:color w:val="auto"/>
          <w:sz w:val="24"/>
          <w:szCs w:val="36"/>
          <w:highlight w:val="none"/>
        </w:rPr>
      </w:pPr>
      <w:bookmarkStart w:id="115" w:name="_Toc42180576"/>
      <w:r>
        <w:rPr>
          <w:rFonts w:hint="eastAsia" w:ascii="宋体" w:hAnsi="宋体" w:eastAsia="宋体" w:cs="宋体"/>
          <w:color w:val="auto"/>
          <w:sz w:val="24"/>
          <w:szCs w:val="36"/>
          <w:highlight w:val="none"/>
        </w:rPr>
        <w:t>1．供应商资格声明函</w:t>
      </w:r>
    </w:p>
    <w:p>
      <w:pPr>
        <w:pStyle w:val="26"/>
        <w:spacing w:line="360" w:lineRule="auto"/>
        <w:jc w:val="center"/>
        <w:rPr>
          <w:rFonts w:hAnsi="宋体"/>
          <w:color w:val="auto"/>
          <w:highlight w:val="none"/>
        </w:rPr>
      </w:pPr>
    </w:p>
    <w:p>
      <w:pPr>
        <w:pStyle w:val="26"/>
        <w:spacing w:line="360" w:lineRule="auto"/>
        <w:rPr>
          <w:rFonts w:hAnsi="宋体"/>
          <w:b/>
          <w:color w:val="auto"/>
          <w:highlight w:val="none"/>
        </w:rPr>
      </w:pPr>
      <w:r>
        <w:rPr>
          <w:rFonts w:hint="eastAsia" w:hAnsi="宋体"/>
          <w:b/>
          <w:color w:val="auto"/>
          <w:highlight w:val="none"/>
        </w:rPr>
        <w:t>致：广东中科招标有限公司</w:t>
      </w:r>
    </w:p>
    <w:p>
      <w:pPr>
        <w:pStyle w:val="26"/>
        <w:spacing w:line="360" w:lineRule="auto"/>
        <w:rPr>
          <w:rFonts w:hAnsi="宋体"/>
          <w:color w:val="auto"/>
          <w:highlight w:val="none"/>
        </w:rPr>
      </w:pPr>
    </w:p>
    <w:p>
      <w:pPr>
        <w:pStyle w:val="26"/>
        <w:spacing w:line="360" w:lineRule="auto"/>
        <w:ind w:firstLine="420" w:firstLineChars="200"/>
        <w:rPr>
          <w:rFonts w:hAnsi="宋体"/>
          <w:color w:val="auto"/>
          <w:szCs w:val="21"/>
          <w:highlight w:val="none"/>
        </w:rPr>
      </w:pPr>
      <w:r>
        <w:rPr>
          <w:rFonts w:hint="eastAsia" w:hAnsi="宋体"/>
          <w:color w:val="auto"/>
          <w:szCs w:val="21"/>
          <w:highlight w:val="none"/>
        </w:rPr>
        <w:t>关于霄边社区典型村“百千万工程”建设提升规划编制(</w:t>
      </w:r>
      <w:r>
        <w:rPr>
          <w:rFonts w:hint="eastAsia" w:hAnsi="宋体"/>
          <w:color w:val="auto"/>
          <w:szCs w:val="32"/>
          <w:highlight w:val="none"/>
        </w:rPr>
        <w:t>采购项目编号</w:t>
      </w:r>
      <w:r>
        <w:rPr>
          <w:rFonts w:hint="eastAsia" w:hAnsi="宋体"/>
          <w:color w:val="auto"/>
          <w:szCs w:val="21"/>
          <w:highlight w:val="none"/>
        </w:rPr>
        <w:t>：ZKZB-2024-C018)，我方愿意参加投标，并声明：</w:t>
      </w:r>
    </w:p>
    <w:p>
      <w:pPr>
        <w:pStyle w:val="26"/>
        <w:spacing w:line="360" w:lineRule="auto"/>
        <w:ind w:firstLine="420" w:firstLineChars="200"/>
        <w:rPr>
          <w:rFonts w:hAnsi="宋体"/>
          <w:color w:val="auto"/>
          <w:szCs w:val="21"/>
          <w:highlight w:val="none"/>
        </w:rPr>
      </w:pPr>
      <w:r>
        <w:rPr>
          <w:rFonts w:hint="eastAsia" w:hAnsi="宋体"/>
          <w:color w:val="auto"/>
          <w:szCs w:val="21"/>
          <w:highlight w:val="none"/>
        </w:rPr>
        <w:t>我方具备《中华人民共和国政府采购法》第二十二条所规定的条件：</w:t>
      </w:r>
    </w:p>
    <w:p>
      <w:pPr>
        <w:pStyle w:val="26"/>
        <w:spacing w:line="360" w:lineRule="auto"/>
        <w:ind w:firstLine="420" w:firstLineChars="200"/>
        <w:rPr>
          <w:rFonts w:hAnsi="宋体"/>
          <w:color w:val="auto"/>
          <w:szCs w:val="21"/>
          <w:highlight w:val="none"/>
        </w:rPr>
      </w:pPr>
      <w:r>
        <w:rPr>
          <w:rFonts w:hAnsi="宋体"/>
          <w:color w:val="auto"/>
          <w:szCs w:val="21"/>
          <w:highlight w:val="none"/>
        </w:rPr>
        <w:t>（一）具有独立承担民事责任的能力；</w:t>
      </w:r>
    </w:p>
    <w:p>
      <w:pPr>
        <w:pStyle w:val="26"/>
        <w:spacing w:line="360" w:lineRule="auto"/>
        <w:ind w:firstLine="420" w:firstLineChars="200"/>
        <w:rPr>
          <w:rFonts w:hAnsi="宋体"/>
          <w:color w:val="auto"/>
          <w:szCs w:val="21"/>
          <w:highlight w:val="none"/>
        </w:rPr>
      </w:pPr>
      <w:r>
        <w:rPr>
          <w:rFonts w:hAnsi="宋体"/>
          <w:color w:val="auto"/>
          <w:szCs w:val="21"/>
          <w:highlight w:val="none"/>
        </w:rPr>
        <w:t>（二）具有良好的商业信誉和健全的财务会计制度；</w:t>
      </w:r>
    </w:p>
    <w:p>
      <w:pPr>
        <w:pStyle w:val="26"/>
        <w:spacing w:line="360" w:lineRule="auto"/>
        <w:ind w:firstLine="420" w:firstLineChars="200"/>
        <w:rPr>
          <w:rFonts w:hAnsi="宋体"/>
          <w:color w:val="auto"/>
          <w:szCs w:val="21"/>
          <w:highlight w:val="none"/>
        </w:rPr>
      </w:pPr>
      <w:r>
        <w:rPr>
          <w:rFonts w:hAnsi="宋体"/>
          <w:color w:val="auto"/>
          <w:szCs w:val="21"/>
          <w:highlight w:val="none"/>
        </w:rPr>
        <w:t>（三）具有履行合同所必需的设备和专业技术能力；</w:t>
      </w:r>
    </w:p>
    <w:p>
      <w:pPr>
        <w:pStyle w:val="26"/>
        <w:spacing w:line="360" w:lineRule="auto"/>
        <w:ind w:firstLine="420" w:firstLineChars="200"/>
        <w:rPr>
          <w:rFonts w:hAnsi="宋体"/>
          <w:color w:val="auto"/>
          <w:szCs w:val="21"/>
          <w:highlight w:val="none"/>
        </w:rPr>
      </w:pPr>
      <w:r>
        <w:rPr>
          <w:rFonts w:hAnsi="宋体"/>
          <w:color w:val="auto"/>
          <w:szCs w:val="21"/>
          <w:highlight w:val="none"/>
        </w:rPr>
        <w:t>（四）有依法缴纳税收和社会保障资金的良好记录；</w:t>
      </w:r>
    </w:p>
    <w:p>
      <w:pPr>
        <w:pStyle w:val="26"/>
        <w:spacing w:line="360" w:lineRule="auto"/>
        <w:ind w:firstLine="420" w:firstLineChars="200"/>
        <w:rPr>
          <w:rFonts w:hAnsi="宋体"/>
          <w:color w:val="auto"/>
          <w:szCs w:val="21"/>
          <w:highlight w:val="none"/>
        </w:rPr>
      </w:pPr>
      <w:r>
        <w:rPr>
          <w:rFonts w:hAnsi="宋体"/>
          <w:color w:val="auto"/>
          <w:szCs w:val="21"/>
          <w:highlight w:val="none"/>
        </w:rPr>
        <w:t>（五）参加政府采购活动前三年内，在经营活动中没有重大违法记录；</w:t>
      </w:r>
    </w:p>
    <w:p>
      <w:pPr>
        <w:pStyle w:val="26"/>
        <w:spacing w:line="360" w:lineRule="auto"/>
        <w:ind w:firstLine="420" w:firstLineChars="200"/>
        <w:rPr>
          <w:rFonts w:hAnsi="宋体"/>
          <w:color w:val="auto"/>
          <w:szCs w:val="21"/>
          <w:highlight w:val="none"/>
        </w:rPr>
      </w:pPr>
      <w:r>
        <w:rPr>
          <w:rFonts w:hAnsi="宋体"/>
          <w:color w:val="auto"/>
          <w:szCs w:val="21"/>
          <w:highlight w:val="none"/>
        </w:rPr>
        <w:t>（六）法律、行政法规规定的其他条件。</w:t>
      </w:r>
    </w:p>
    <w:p>
      <w:pPr>
        <w:pStyle w:val="26"/>
        <w:spacing w:line="360" w:lineRule="auto"/>
        <w:ind w:firstLine="420" w:firstLineChars="200"/>
        <w:rPr>
          <w:rFonts w:hAnsi="宋体"/>
          <w:color w:val="auto"/>
          <w:szCs w:val="21"/>
          <w:highlight w:val="none"/>
        </w:rPr>
      </w:pPr>
      <w:r>
        <w:rPr>
          <w:rFonts w:hint="eastAsia" w:hAnsi="宋体"/>
          <w:color w:val="auto"/>
          <w:szCs w:val="21"/>
          <w:highlight w:val="none"/>
        </w:rPr>
        <w:t>本次招标采购活动中，如有违法、违规、弄虚作假行为，所造成的损失、不良后果及法律责任，一律由我方承担。</w:t>
      </w:r>
    </w:p>
    <w:p>
      <w:pPr>
        <w:snapToGrid w:val="0"/>
        <w:spacing w:line="360" w:lineRule="auto"/>
        <w:rPr>
          <w:rFonts w:hAnsi="宋体"/>
          <w:color w:val="auto"/>
          <w:sz w:val="21"/>
          <w:szCs w:val="21"/>
          <w:highlight w:val="none"/>
        </w:rPr>
      </w:pPr>
    </w:p>
    <w:p>
      <w:pPr>
        <w:snapToGrid w:val="0"/>
        <w:spacing w:line="360" w:lineRule="auto"/>
        <w:ind w:firstLine="420" w:firstLineChars="200"/>
        <w:rPr>
          <w:rFonts w:hAnsi="宋体"/>
          <w:color w:val="auto"/>
          <w:kern w:val="2"/>
          <w:sz w:val="21"/>
          <w:szCs w:val="21"/>
          <w:highlight w:val="none"/>
        </w:rPr>
      </w:pPr>
      <w:r>
        <w:rPr>
          <w:rFonts w:hint="eastAsia" w:hAnsi="宋体"/>
          <w:color w:val="auto"/>
          <w:kern w:val="2"/>
          <w:sz w:val="21"/>
          <w:szCs w:val="21"/>
          <w:highlight w:val="none"/>
        </w:rPr>
        <w:t>特此声明！</w:t>
      </w:r>
    </w:p>
    <w:p>
      <w:pPr>
        <w:snapToGrid w:val="0"/>
        <w:spacing w:line="360" w:lineRule="auto"/>
        <w:rPr>
          <w:rFonts w:hAnsi="宋体"/>
          <w:color w:val="auto"/>
          <w:sz w:val="21"/>
          <w:szCs w:val="21"/>
          <w:highlight w:val="none"/>
        </w:rPr>
      </w:pPr>
    </w:p>
    <w:p>
      <w:pPr>
        <w:snapToGrid w:val="0"/>
        <w:spacing w:line="360" w:lineRule="auto"/>
        <w:rPr>
          <w:rFonts w:hAnsi="宋体"/>
          <w:color w:val="auto"/>
          <w:sz w:val="21"/>
          <w:szCs w:val="21"/>
          <w:highlight w:val="none"/>
        </w:rPr>
      </w:pPr>
    </w:p>
    <w:p>
      <w:pPr>
        <w:snapToGrid w:val="0"/>
        <w:spacing w:line="360" w:lineRule="auto"/>
        <w:rPr>
          <w:rFonts w:hAnsi="宋体"/>
          <w:color w:val="auto"/>
          <w:sz w:val="21"/>
          <w:szCs w:val="21"/>
          <w:highlight w:val="none"/>
        </w:rPr>
      </w:pPr>
    </w:p>
    <w:p>
      <w:pPr>
        <w:pStyle w:val="26"/>
        <w:spacing w:line="360" w:lineRule="auto"/>
        <w:rPr>
          <w:rFonts w:hAnsi="宋体"/>
          <w:color w:val="auto"/>
          <w:highlight w:val="none"/>
        </w:rPr>
      </w:pPr>
    </w:p>
    <w:p>
      <w:pPr>
        <w:snapToGrid w:val="0"/>
        <w:spacing w:line="360" w:lineRule="auto"/>
        <w:rPr>
          <w:rFonts w:hAnsi="宋体"/>
          <w:color w:val="auto"/>
          <w:sz w:val="21"/>
          <w:szCs w:val="21"/>
          <w:highlight w:val="none"/>
          <w:u w:val="single"/>
        </w:rPr>
      </w:pPr>
      <w:r>
        <w:rPr>
          <w:rFonts w:hint="eastAsia" w:hAnsi="宋体"/>
          <w:color w:val="auto"/>
          <w:sz w:val="21"/>
          <w:szCs w:val="21"/>
          <w:highlight w:val="none"/>
        </w:rPr>
        <w:t>供应商名称（加盖公章）：</w:t>
      </w:r>
    </w:p>
    <w:p>
      <w:pPr>
        <w:snapToGrid w:val="0"/>
        <w:spacing w:line="360" w:lineRule="auto"/>
        <w:rPr>
          <w:rFonts w:hAnsi="宋体"/>
          <w:color w:val="auto"/>
          <w:sz w:val="21"/>
          <w:szCs w:val="21"/>
          <w:highlight w:val="none"/>
        </w:rPr>
      </w:pPr>
      <w:r>
        <w:rPr>
          <w:rFonts w:hint="eastAsia" w:hAnsi="宋体"/>
          <w:color w:val="auto"/>
          <w:sz w:val="21"/>
          <w:szCs w:val="21"/>
          <w:highlight w:val="none"/>
        </w:rPr>
        <w:t>日期：</w:t>
      </w:r>
    </w:p>
    <w:p>
      <w:pPr>
        <w:spacing w:line="360" w:lineRule="auto"/>
        <w:ind w:firstLine="420" w:firstLineChars="200"/>
        <w:rPr>
          <w:rFonts w:hAnsi="宋体"/>
          <w:color w:val="auto"/>
          <w:sz w:val="21"/>
          <w:szCs w:val="21"/>
          <w:highlight w:val="none"/>
        </w:rPr>
      </w:pPr>
      <w:r>
        <w:rPr>
          <w:rFonts w:hAnsi="宋体"/>
          <w:color w:val="auto"/>
          <w:sz w:val="21"/>
          <w:szCs w:val="21"/>
          <w:highlight w:val="none"/>
        </w:rPr>
        <w:br w:type="page"/>
      </w:r>
    </w:p>
    <w:p>
      <w:pPr>
        <w:pStyle w:val="5"/>
        <w:jc w:val="center"/>
        <w:rPr>
          <w:rFonts w:ascii="宋体" w:hAnsi="宋体" w:eastAsia="宋体" w:cs="宋体"/>
          <w:color w:val="auto"/>
          <w:sz w:val="24"/>
          <w:szCs w:val="36"/>
          <w:highlight w:val="none"/>
        </w:rPr>
      </w:pPr>
      <w:bookmarkStart w:id="116" w:name="_Toc494532284"/>
      <w:r>
        <w:rPr>
          <w:rFonts w:hint="eastAsia" w:ascii="宋体" w:hAnsi="宋体" w:eastAsia="宋体" w:cs="宋体"/>
          <w:color w:val="auto"/>
          <w:sz w:val="24"/>
          <w:szCs w:val="36"/>
          <w:highlight w:val="none"/>
        </w:rPr>
        <w:t>2．供应商资格条件的证明材料</w:t>
      </w:r>
      <w:bookmarkEnd w:id="116"/>
    </w:p>
    <w:p>
      <w:pPr>
        <w:pStyle w:val="26"/>
        <w:spacing w:line="360" w:lineRule="auto"/>
        <w:ind w:firstLine="420" w:firstLineChars="200"/>
        <w:rPr>
          <w:rFonts w:hAnsi="宋体"/>
          <w:color w:val="auto"/>
          <w:szCs w:val="21"/>
          <w:highlight w:val="none"/>
        </w:rPr>
      </w:pPr>
    </w:p>
    <w:p>
      <w:pPr>
        <w:pStyle w:val="26"/>
        <w:spacing w:line="360" w:lineRule="auto"/>
        <w:ind w:firstLine="420" w:firstLineChars="200"/>
        <w:rPr>
          <w:rFonts w:hAnsi="宋体"/>
          <w:color w:val="auto"/>
          <w:szCs w:val="21"/>
          <w:highlight w:val="none"/>
        </w:rPr>
      </w:pPr>
      <w:r>
        <w:rPr>
          <w:rFonts w:hint="eastAsia" w:hAnsi="宋体"/>
          <w:color w:val="auto"/>
          <w:szCs w:val="21"/>
          <w:highlight w:val="none"/>
        </w:rPr>
        <w:t>2.1提供以下</w:t>
      </w:r>
      <w:r>
        <w:rPr>
          <w:rFonts w:hAnsi="宋体"/>
          <w:color w:val="auto"/>
          <w:szCs w:val="21"/>
          <w:highlight w:val="none"/>
        </w:rPr>
        <w:t>相关证照</w:t>
      </w:r>
      <w:r>
        <w:rPr>
          <w:rFonts w:hint="eastAsia" w:hAnsi="宋体"/>
          <w:color w:val="auto"/>
          <w:szCs w:val="21"/>
          <w:highlight w:val="none"/>
        </w:rPr>
        <w:t>的</w:t>
      </w:r>
      <w:r>
        <w:rPr>
          <w:rFonts w:hAnsi="宋体"/>
          <w:color w:val="auto"/>
          <w:szCs w:val="21"/>
          <w:highlight w:val="none"/>
        </w:rPr>
        <w:t>扫描件</w:t>
      </w:r>
      <w:r>
        <w:rPr>
          <w:rFonts w:hint="eastAsia" w:hAnsi="宋体"/>
          <w:color w:val="auto"/>
          <w:szCs w:val="21"/>
          <w:highlight w:val="none"/>
        </w:rPr>
        <w:t>之一：</w:t>
      </w:r>
    </w:p>
    <w:p>
      <w:pPr>
        <w:pStyle w:val="26"/>
        <w:spacing w:line="360" w:lineRule="auto"/>
        <w:ind w:firstLine="850" w:firstLineChars="405"/>
        <w:rPr>
          <w:rFonts w:hAnsi="宋体"/>
          <w:color w:val="auto"/>
          <w:szCs w:val="21"/>
          <w:highlight w:val="none"/>
        </w:rPr>
      </w:pPr>
      <w:r>
        <w:rPr>
          <w:rFonts w:hint="eastAsia" w:hAnsi="宋体"/>
          <w:color w:val="auto"/>
          <w:szCs w:val="21"/>
          <w:highlight w:val="none"/>
        </w:rPr>
        <w:t>1.</w:t>
      </w:r>
      <w:r>
        <w:rPr>
          <w:rFonts w:hAnsi="宋体"/>
          <w:color w:val="auto"/>
          <w:szCs w:val="21"/>
          <w:highlight w:val="none"/>
        </w:rPr>
        <w:t>企业法人营业执照</w:t>
      </w:r>
      <w:r>
        <w:rPr>
          <w:rFonts w:hint="eastAsia" w:hAnsi="宋体"/>
          <w:color w:val="auto"/>
          <w:szCs w:val="21"/>
          <w:highlight w:val="none"/>
        </w:rPr>
        <w:t>；</w:t>
      </w:r>
    </w:p>
    <w:p>
      <w:pPr>
        <w:pStyle w:val="26"/>
        <w:spacing w:line="360" w:lineRule="auto"/>
        <w:ind w:firstLine="850" w:firstLineChars="405"/>
        <w:rPr>
          <w:rFonts w:hAnsi="宋体"/>
          <w:color w:val="auto"/>
          <w:szCs w:val="21"/>
          <w:highlight w:val="none"/>
        </w:rPr>
      </w:pPr>
      <w:r>
        <w:rPr>
          <w:rFonts w:hint="eastAsia" w:hAnsi="宋体"/>
          <w:color w:val="auto"/>
          <w:szCs w:val="21"/>
          <w:highlight w:val="none"/>
        </w:rPr>
        <w:t>2.</w:t>
      </w:r>
      <w:bookmarkStart w:id="117" w:name="_Hlk530650310"/>
      <w:r>
        <w:rPr>
          <w:rFonts w:ascii="Arial" w:hAnsi="Arial" w:cs="Arial"/>
          <w:color w:val="auto"/>
          <w:szCs w:val="21"/>
          <w:highlight w:val="none"/>
          <w:shd w:val="clear" w:color="auto" w:fill="FFFFFF"/>
        </w:rPr>
        <w:t>事业单位法人证书</w:t>
      </w:r>
      <w:bookmarkEnd w:id="117"/>
      <w:r>
        <w:rPr>
          <w:rFonts w:hint="eastAsia" w:hAnsi="宋体"/>
          <w:color w:val="auto"/>
          <w:szCs w:val="21"/>
          <w:highlight w:val="none"/>
        </w:rPr>
        <w:t>；</w:t>
      </w:r>
    </w:p>
    <w:p>
      <w:pPr>
        <w:pStyle w:val="26"/>
        <w:spacing w:line="360" w:lineRule="auto"/>
        <w:ind w:firstLine="850" w:firstLineChars="405"/>
        <w:rPr>
          <w:rFonts w:hAnsi="宋体"/>
          <w:color w:val="auto"/>
          <w:szCs w:val="21"/>
          <w:highlight w:val="none"/>
        </w:rPr>
      </w:pPr>
      <w:r>
        <w:rPr>
          <w:rFonts w:hint="eastAsia" w:hAnsi="宋体"/>
          <w:color w:val="auto"/>
          <w:szCs w:val="21"/>
          <w:highlight w:val="none"/>
        </w:rPr>
        <w:t>3.</w:t>
      </w:r>
      <w:r>
        <w:rPr>
          <w:rFonts w:hAnsi="宋体"/>
          <w:color w:val="auto"/>
          <w:szCs w:val="21"/>
          <w:highlight w:val="none"/>
        </w:rPr>
        <w:t>其他组织的营业执照</w:t>
      </w:r>
      <w:r>
        <w:rPr>
          <w:rFonts w:hint="eastAsia" w:hAnsi="宋体"/>
          <w:color w:val="auto"/>
          <w:szCs w:val="21"/>
          <w:highlight w:val="none"/>
        </w:rPr>
        <w:t>或</w:t>
      </w:r>
      <w:r>
        <w:rPr>
          <w:rFonts w:hAnsi="宋体"/>
          <w:color w:val="auto"/>
          <w:szCs w:val="21"/>
          <w:highlight w:val="none"/>
        </w:rPr>
        <w:t>执业许可证</w:t>
      </w:r>
      <w:r>
        <w:rPr>
          <w:rFonts w:hint="eastAsia" w:hAnsi="宋体"/>
          <w:color w:val="auto"/>
          <w:szCs w:val="21"/>
          <w:highlight w:val="none"/>
        </w:rPr>
        <w:t>；</w:t>
      </w:r>
    </w:p>
    <w:p>
      <w:pPr>
        <w:pStyle w:val="26"/>
        <w:spacing w:line="360" w:lineRule="auto"/>
        <w:ind w:firstLine="850" w:firstLineChars="405"/>
        <w:rPr>
          <w:rFonts w:hAnsi="宋体"/>
          <w:color w:val="auto"/>
          <w:szCs w:val="21"/>
          <w:highlight w:val="none"/>
        </w:rPr>
      </w:pPr>
      <w:r>
        <w:rPr>
          <w:rFonts w:hint="eastAsia" w:hAnsi="宋体"/>
          <w:color w:val="auto"/>
          <w:szCs w:val="21"/>
          <w:highlight w:val="none"/>
        </w:rPr>
        <w:t>4.居民身份证</w:t>
      </w:r>
      <w:r>
        <w:rPr>
          <w:rFonts w:hAnsi="宋体"/>
          <w:color w:val="auto"/>
          <w:szCs w:val="21"/>
          <w:highlight w:val="none"/>
        </w:rPr>
        <w:t>等</w:t>
      </w:r>
      <w:r>
        <w:rPr>
          <w:rFonts w:hint="eastAsia" w:hAnsi="宋体"/>
          <w:color w:val="auto"/>
          <w:szCs w:val="21"/>
          <w:highlight w:val="none"/>
        </w:rPr>
        <w:t>。</w:t>
      </w:r>
    </w:p>
    <w:p>
      <w:pPr>
        <w:pStyle w:val="26"/>
        <w:spacing w:line="360" w:lineRule="auto"/>
        <w:ind w:firstLine="420" w:firstLineChars="200"/>
        <w:rPr>
          <w:rFonts w:hAnsi="宋体"/>
          <w:color w:val="auto"/>
          <w:szCs w:val="21"/>
          <w:highlight w:val="none"/>
        </w:rPr>
      </w:pPr>
      <w:r>
        <w:rPr>
          <w:rFonts w:hint="eastAsia" w:hAnsi="宋体"/>
          <w:color w:val="auto"/>
          <w:szCs w:val="21"/>
          <w:highlight w:val="none"/>
        </w:rPr>
        <w:t>2.2提供</w:t>
      </w:r>
      <w:r>
        <w:rPr>
          <w:rFonts w:hint="eastAsia" w:hAnsi="宋体" w:cs="宋体"/>
          <w:color w:val="auto"/>
          <w:szCs w:val="21"/>
          <w:highlight w:val="none"/>
        </w:rPr>
        <w:t>供应商资格条件要求</w:t>
      </w:r>
      <w:r>
        <w:rPr>
          <w:rFonts w:hint="eastAsia" w:hAnsi="宋体"/>
          <w:color w:val="auto"/>
          <w:szCs w:val="21"/>
          <w:highlight w:val="none"/>
        </w:rPr>
        <w:t>的其他资格证明文件</w:t>
      </w:r>
    </w:p>
    <w:p>
      <w:pPr>
        <w:pStyle w:val="26"/>
        <w:spacing w:line="360" w:lineRule="auto"/>
        <w:ind w:firstLine="420" w:firstLineChars="200"/>
        <w:rPr>
          <w:rFonts w:hAnsi="宋体"/>
          <w:color w:val="auto"/>
          <w:szCs w:val="21"/>
          <w:highlight w:val="none"/>
        </w:rPr>
      </w:pPr>
      <w:r>
        <w:rPr>
          <w:rFonts w:hint="eastAsia" w:hAnsi="宋体"/>
          <w:color w:val="auto"/>
          <w:szCs w:val="21"/>
          <w:highlight w:val="none"/>
        </w:rPr>
        <w:t>2.3如果供应商为联合体，则应提交联合体各方资格证明文件、联合体协议。</w:t>
      </w:r>
    </w:p>
    <w:p>
      <w:pPr>
        <w:spacing w:line="360" w:lineRule="auto"/>
        <w:ind w:firstLine="420" w:firstLineChars="200"/>
        <w:rPr>
          <w:rFonts w:hAnsi="宋体"/>
          <w:color w:val="auto"/>
          <w:sz w:val="21"/>
          <w:szCs w:val="21"/>
          <w:highlight w:val="none"/>
        </w:rPr>
      </w:pPr>
    </w:p>
    <w:p>
      <w:pPr>
        <w:pStyle w:val="4"/>
        <w:pageBreakBefore/>
        <w:numPr>
          <w:ilvl w:val="0"/>
          <w:numId w:val="28"/>
        </w:numPr>
        <w:spacing w:line="360" w:lineRule="auto"/>
        <w:jc w:val="center"/>
        <w:rPr>
          <w:rFonts w:hAnsi="宋体"/>
          <w:b/>
          <w:color w:val="auto"/>
          <w:highlight w:val="none"/>
        </w:rPr>
      </w:pPr>
      <w:bookmarkStart w:id="118" w:name="_Toc19216"/>
      <w:r>
        <w:rPr>
          <w:rFonts w:hint="eastAsia" w:hAnsi="宋体"/>
          <w:b/>
          <w:color w:val="auto"/>
          <w:highlight w:val="none"/>
        </w:rPr>
        <w:t>中小企业声明函(可选)</w:t>
      </w:r>
      <w:bookmarkEnd w:id="115"/>
      <w:bookmarkEnd w:id="118"/>
    </w:p>
    <w:p>
      <w:pPr>
        <w:spacing w:line="360" w:lineRule="auto"/>
        <w:rPr>
          <w:rFonts w:hAnsi="宋体"/>
          <w:color w:val="auto"/>
          <w:sz w:val="21"/>
          <w:szCs w:val="21"/>
          <w:highlight w:val="none"/>
        </w:rPr>
      </w:pPr>
    </w:p>
    <w:p>
      <w:pPr>
        <w:spacing w:line="360" w:lineRule="auto"/>
        <w:rPr>
          <w:rFonts w:hAnsi="宋体"/>
          <w:color w:val="auto"/>
          <w:sz w:val="21"/>
          <w:szCs w:val="21"/>
          <w:highlight w:val="none"/>
        </w:rPr>
      </w:pPr>
      <w:r>
        <w:rPr>
          <w:rFonts w:hint="eastAsia" w:hAnsi="宋体"/>
          <w:color w:val="auto"/>
          <w:sz w:val="21"/>
          <w:szCs w:val="21"/>
          <w:highlight w:val="none"/>
        </w:rPr>
        <w:t>（以下格式文件由供应商根据需要选用）</w:t>
      </w:r>
    </w:p>
    <w:p>
      <w:pPr>
        <w:spacing w:line="360" w:lineRule="auto"/>
        <w:rPr>
          <w:rFonts w:hAnsi="宋体"/>
          <w:color w:val="auto"/>
          <w:sz w:val="21"/>
          <w:szCs w:val="21"/>
          <w:highlight w:val="none"/>
        </w:rPr>
      </w:pPr>
    </w:p>
    <w:p>
      <w:pPr>
        <w:spacing w:line="360" w:lineRule="auto"/>
        <w:ind w:firstLine="420" w:firstLineChars="200"/>
        <w:rPr>
          <w:rFonts w:hAnsi="宋体"/>
          <w:color w:val="auto"/>
          <w:sz w:val="21"/>
          <w:szCs w:val="21"/>
          <w:highlight w:val="none"/>
        </w:rPr>
      </w:pPr>
      <w:r>
        <w:rPr>
          <w:rFonts w:hAnsi="宋体"/>
          <w:color w:val="auto"/>
          <w:sz w:val="21"/>
          <w:szCs w:val="21"/>
          <w:highlight w:val="none"/>
        </w:rPr>
        <w:t>本公司（联合体）郑重声明，根据《政府采购促进中小企业发展管理办法》（财库﹝2020﹞46 号）的规定，本公司 （联合体）参加</w:t>
      </w:r>
      <w:r>
        <w:rPr>
          <w:rFonts w:hAnsi="宋体"/>
          <w:color w:val="auto"/>
          <w:sz w:val="21"/>
          <w:szCs w:val="21"/>
          <w:highlight w:val="none"/>
          <w:u w:val="single"/>
        </w:rPr>
        <w:t>（单位名称）</w:t>
      </w:r>
      <w:r>
        <w:rPr>
          <w:rFonts w:hAnsi="宋体"/>
          <w:color w:val="auto"/>
          <w:sz w:val="21"/>
          <w:szCs w:val="21"/>
          <w:highlight w:val="none"/>
        </w:rPr>
        <w:t>的</w:t>
      </w:r>
      <w:r>
        <w:rPr>
          <w:rFonts w:hAnsi="宋体"/>
          <w:color w:val="auto"/>
          <w:sz w:val="21"/>
          <w:szCs w:val="21"/>
          <w:highlight w:val="none"/>
          <w:u w:val="single"/>
        </w:rPr>
        <w:t>（项目名称）</w:t>
      </w:r>
      <w:r>
        <w:rPr>
          <w:rFonts w:hAnsi="宋体"/>
          <w:color w:val="auto"/>
          <w:sz w:val="21"/>
          <w:szCs w:val="21"/>
          <w:highlight w:val="none"/>
        </w:rPr>
        <w:t xml:space="preserve">采购活动，提供的货物全部由符合政策要求的中小企业制造。相关企业（含联合体中的中小企业、签订分包意向协议的中小企业） 的具体情况如下： </w:t>
      </w:r>
    </w:p>
    <w:p>
      <w:pPr>
        <w:spacing w:line="360" w:lineRule="auto"/>
        <w:ind w:firstLine="420" w:firstLineChars="200"/>
        <w:rPr>
          <w:rFonts w:hAnsi="宋体"/>
          <w:color w:val="auto"/>
          <w:sz w:val="21"/>
          <w:szCs w:val="21"/>
          <w:highlight w:val="none"/>
        </w:rPr>
      </w:pPr>
      <w:r>
        <w:rPr>
          <w:rFonts w:hAnsi="宋体"/>
          <w:color w:val="auto"/>
          <w:sz w:val="21"/>
          <w:szCs w:val="21"/>
          <w:highlight w:val="none"/>
        </w:rPr>
        <w:t>1.</w:t>
      </w:r>
      <w:r>
        <w:rPr>
          <w:rFonts w:hAnsi="宋体"/>
          <w:color w:val="auto"/>
          <w:sz w:val="21"/>
          <w:szCs w:val="21"/>
          <w:highlight w:val="none"/>
          <w:u w:val="single"/>
        </w:rPr>
        <w:t xml:space="preserve"> （标的名称） </w:t>
      </w:r>
      <w:r>
        <w:rPr>
          <w:rFonts w:hAnsi="宋体"/>
          <w:color w:val="auto"/>
          <w:sz w:val="21"/>
          <w:szCs w:val="21"/>
          <w:highlight w:val="none"/>
        </w:rPr>
        <w:t>，属于</w:t>
      </w:r>
      <w:r>
        <w:rPr>
          <w:rFonts w:hAnsi="宋体"/>
          <w:color w:val="auto"/>
          <w:sz w:val="21"/>
          <w:szCs w:val="21"/>
          <w:highlight w:val="none"/>
          <w:u w:val="single"/>
        </w:rPr>
        <w:t xml:space="preserve">（采购文件中明确的所属行业） </w:t>
      </w:r>
      <w:r>
        <w:rPr>
          <w:rFonts w:hAnsi="宋体"/>
          <w:color w:val="auto"/>
          <w:sz w:val="21"/>
          <w:szCs w:val="21"/>
          <w:highlight w:val="none"/>
        </w:rPr>
        <w:t>行业；制造商为</w:t>
      </w:r>
      <w:r>
        <w:rPr>
          <w:rFonts w:hAnsi="宋体"/>
          <w:color w:val="auto"/>
          <w:sz w:val="21"/>
          <w:szCs w:val="21"/>
          <w:highlight w:val="none"/>
          <w:u w:val="single"/>
        </w:rPr>
        <w:t>（企业名称）</w:t>
      </w:r>
      <w:r>
        <w:rPr>
          <w:rFonts w:hAnsi="宋体"/>
          <w:color w:val="auto"/>
          <w:sz w:val="21"/>
          <w:szCs w:val="21"/>
          <w:highlight w:val="none"/>
        </w:rPr>
        <w:t>，从业人员</w:t>
      </w:r>
      <w:r>
        <w:rPr>
          <w:rFonts w:hAnsi="宋体"/>
          <w:color w:val="auto"/>
          <w:sz w:val="21"/>
          <w:szCs w:val="21"/>
          <w:highlight w:val="none"/>
          <w:u w:val="single"/>
        </w:rPr>
        <w:t xml:space="preserve">   </w:t>
      </w:r>
      <w:r>
        <w:rPr>
          <w:rFonts w:hAnsi="宋体"/>
          <w:color w:val="auto"/>
          <w:sz w:val="21"/>
          <w:szCs w:val="21"/>
          <w:highlight w:val="none"/>
        </w:rPr>
        <w:t>人，营业收入为</w:t>
      </w:r>
      <w:r>
        <w:rPr>
          <w:rFonts w:hAnsi="宋体"/>
          <w:color w:val="auto"/>
          <w:sz w:val="21"/>
          <w:szCs w:val="21"/>
          <w:highlight w:val="none"/>
          <w:u w:val="single"/>
        </w:rPr>
        <w:t xml:space="preserve">   </w:t>
      </w:r>
      <w:r>
        <w:rPr>
          <w:rFonts w:hAnsi="宋体"/>
          <w:color w:val="auto"/>
          <w:sz w:val="21"/>
          <w:szCs w:val="21"/>
          <w:highlight w:val="none"/>
        </w:rPr>
        <w:t>万元，资产总额为</w:t>
      </w:r>
      <w:r>
        <w:rPr>
          <w:rFonts w:hAnsi="宋体"/>
          <w:color w:val="auto"/>
          <w:sz w:val="21"/>
          <w:szCs w:val="21"/>
          <w:highlight w:val="none"/>
          <w:u w:val="single"/>
        </w:rPr>
        <w:t xml:space="preserve">   </w:t>
      </w:r>
      <w:r>
        <w:rPr>
          <w:rFonts w:hAnsi="宋体"/>
          <w:color w:val="auto"/>
          <w:sz w:val="21"/>
          <w:szCs w:val="21"/>
          <w:highlight w:val="none"/>
        </w:rPr>
        <w:t>万元，属于</w:t>
      </w:r>
      <w:r>
        <w:rPr>
          <w:rFonts w:hAnsi="宋体"/>
          <w:color w:val="auto"/>
          <w:sz w:val="21"/>
          <w:szCs w:val="21"/>
          <w:highlight w:val="none"/>
          <w:u w:val="single"/>
        </w:rPr>
        <w:t>（中型企业、小型企业、微型企业）</w:t>
      </w:r>
      <w:r>
        <w:rPr>
          <w:rFonts w:hAnsi="宋体"/>
          <w:color w:val="auto"/>
          <w:sz w:val="21"/>
          <w:szCs w:val="21"/>
          <w:highlight w:val="none"/>
        </w:rPr>
        <w:t xml:space="preserve">； </w:t>
      </w:r>
    </w:p>
    <w:p>
      <w:pPr>
        <w:spacing w:line="360" w:lineRule="auto"/>
        <w:ind w:firstLine="420" w:firstLineChars="200"/>
        <w:rPr>
          <w:rFonts w:hAnsi="宋体"/>
          <w:color w:val="auto"/>
          <w:sz w:val="21"/>
          <w:szCs w:val="21"/>
          <w:highlight w:val="none"/>
        </w:rPr>
      </w:pPr>
      <w:r>
        <w:rPr>
          <w:rFonts w:hAnsi="宋体"/>
          <w:color w:val="auto"/>
          <w:sz w:val="21"/>
          <w:szCs w:val="21"/>
          <w:highlight w:val="none"/>
        </w:rPr>
        <w:t xml:space="preserve">2. </w:t>
      </w:r>
      <w:r>
        <w:rPr>
          <w:rFonts w:hAnsi="宋体"/>
          <w:color w:val="auto"/>
          <w:sz w:val="21"/>
          <w:szCs w:val="21"/>
          <w:highlight w:val="none"/>
          <w:u w:val="single"/>
        </w:rPr>
        <w:t xml:space="preserve">（标的名称） </w:t>
      </w:r>
      <w:r>
        <w:rPr>
          <w:rFonts w:hAnsi="宋体"/>
          <w:color w:val="auto"/>
          <w:sz w:val="21"/>
          <w:szCs w:val="21"/>
          <w:highlight w:val="none"/>
        </w:rPr>
        <w:t>，属于</w:t>
      </w:r>
      <w:r>
        <w:rPr>
          <w:rFonts w:hAnsi="宋体"/>
          <w:color w:val="auto"/>
          <w:sz w:val="21"/>
          <w:szCs w:val="21"/>
          <w:highlight w:val="none"/>
          <w:u w:val="single"/>
        </w:rPr>
        <w:t xml:space="preserve">（采购文件中明确的所属行业） </w:t>
      </w:r>
      <w:r>
        <w:rPr>
          <w:rFonts w:hAnsi="宋体"/>
          <w:color w:val="auto"/>
          <w:sz w:val="21"/>
          <w:szCs w:val="21"/>
          <w:highlight w:val="none"/>
        </w:rPr>
        <w:t>行业；制造商为</w:t>
      </w:r>
      <w:r>
        <w:rPr>
          <w:rFonts w:hAnsi="宋体"/>
          <w:color w:val="auto"/>
          <w:sz w:val="21"/>
          <w:szCs w:val="21"/>
          <w:highlight w:val="none"/>
          <w:u w:val="single"/>
        </w:rPr>
        <w:t>（企业名称）</w:t>
      </w:r>
      <w:r>
        <w:rPr>
          <w:rFonts w:hAnsi="宋体"/>
          <w:color w:val="auto"/>
          <w:sz w:val="21"/>
          <w:szCs w:val="21"/>
          <w:highlight w:val="none"/>
        </w:rPr>
        <w:t>，从业人员</w:t>
      </w:r>
      <w:r>
        <w:rPr>
          <w:rFonts w:hAnsi="宋体"/>
          <w:color w:val="auto"/>
          <w:sz w:val="21"/>
          <w:szCs w:val="21"/>
          <w:highlight w:val="none"/>
          <w:u w:val="single"/>
        </w:rPr>
        <w:t xml:space="preserve">   </w:t>
      </w:r>
      <w:r>
        <w:rPr>
          <w:rFonts w:hAnsi="宋体"/>
          <w:color w:val="auto"/>
          <w:sz w:val="21"/>
          <w:szCs w:val="21"/>
          <w:highlight w:val="none"/>
        </w:rPr>
        <w:t>人，营业收入为</w:t>
      </w:r>
      <w:r>
        <w:rPr>
          <w:rFonts w:hAnsi="宋体"/>
          <w:color w:val="auto"/>
          <w:sz w:val="21"/>
          <w:szCs w:val="21"/>
          <w:highlight w:val="none"/>
          <w:u w:val="single"/>
        </w:rPr>
        <w:t xml:space="preserve">   </w:t>
      </w:r>
      <w:r>
        <w:rPr>
          <w:rFonts w:hAnsi="宋体"/>
          <w:color w:val="auto"/>
          <w:sz w:val="21"/>
          <w:szCs w:val="21"/>
          <w:highlight w:val="none"/>
        </w:rPr>
        <w:t>万元，资产总额为</w:t>
      </w:r>
      <w:r>
        <w:rPr>
          <w:rFonts w:hAnsi="宋体"/>
          <w:color w:val="auto"/>
          <w:sz w:val="21"/>
          <w:szCs w:val="21"/>
          <w:highlight w:val="none"/>
          <w:u w:val="single"/>
        </w:rPr>
        <w:t xml:space="preserve">   </w:t>
      </w:r>
      <w:r>
        <w:rPr>
          <w:rFonts w:hAnsi="宋体"/>
          <w:color w:val="auto"/>
          <w:sz w:val="21"/>
          <w:szCs w:val="21"/>
          <w:highlight w:val="none"/>
        </w:rPr>
        <w:t>万元，属于</w:t>
      </w:r>
      <w:r>
        <w:rPr>
          <w:rFonts w:hAnsi="宋体"/>
          <w:color w:val="auto"/>
          <w:sz w:val="21"/>
          <w:szCs w:val="21"/>
          <w:highlight w:val="none"/>
          <w:u w:val="single"/>
        </w:rPr>
        <w:t>（中型企业、小型企业、微型企业）</w:t>
      </w:r>
      <w:r>
        <w:rPr>
          <w:rFonts w:hAnsi="宋体"/>
          <w:color w:val="auto"/>
          <w:sz w:val="21"/>
          <w:szCs w:val="21"/>
          <w:highlight w:val="none"/>
        </w:rPr>
        <w:t xml:space="preserve">； </w:t>
      </w:r>
    </w:p>
    <w:p>
      <w:pPr>
        <w:spacing w:line="360" w:lineRule="auto"/>
        <w:ind w:firstLine="420" w:firstLineChars="200"/>
        <w:rPr>
          <w:rFonts w:hAnsi="宋体"/>
          <w:color w:val="auto"/>
          <w:sz w:val="21"/>
          <w:szCs w:val="21"/>
          <w:highlight w:val="none"/>
        </w:rPr>
      </w:pPr>
      <w:r>
        <w:rPr>
          <w:rFonts w:hAnsi="宋体"/>
          <w:color w:val="auto"/>
          <w:sz w:val="21"/>
          <w:szCs w:val="21"/>
          <w:highlight w:val="none"/>
        </w:rPr>
        <w:t xml:space="preserve">…… </w:t>
      </w:r>
    </w:p>
    <w:p>
      <w:pPr>
        <w:spacing w:line="360" w:lineRule="auto"/>
        <w:ind w:firstLine="420" w:firstLineChars="200"/>
        <w:rPr>
          <w:rFonts w:hAnsi="宋体"/>
          <w:color w:val="auto"/>
          <w:sz w:val="21"/>
          <w:szCs w:val="21"/>
          <w:highlight w:val="none"/>
        </w:rPr>
      </w:pPr>
      <w:r>
        <w:rPr>
          <w:rFonts w:hAnsi="宋体"/>
          <w:color w:val="auto"/>
          <w:sz w:val="21"/>
          <w:szCs w:val="21"/>
          <w:highlight w:val="none"/>
        </w:rPr>
        <w:t xml:space="preserve">以上企业，不属于大企业的分支机构，不存在控股股东 为大企业的情形，也不存在与大企业的负责人为同一人的情形。 </w:t>
      </w:r>
    </w:p>
    <w:p>
      <w:pPr>
        <w:spacing w:line="360" w:lineRule="auto"/>
        <w:ind w:firstLine="420" w:firstLineChars="200"/>
        <w:rPr>
          <w:rFonts w:hAnsi="宋体"/>
          <w:color w:val="auto"/>
          <w:sz w:val="21"/>
          <w:szCs w:val="21"/>
          <w:highlight w:val="none"/>
        </w:rPr>
      </w:pPr>
      <w:r>
        <w:rPr>
          <w:rFonts w:hAnsi="宋体"/>
          <w:color w:val="auto"/>
          <w:sz w:val="21"/>
          <w:szCs w:val="21"/>
          <w:highlight w:val="none"/>
        </w:rPr>
        <w:t xml:space="preserve">本企业对上述声明内容的真实性负责。如有虚假，将依 法承担相应责任。 </w:t>
      </w:r>
    </w:p>
    <w:p>
      <w:pPr>
        <w:snapToGrid w:val="0"/>
        <w:spacing w:line="360" w:lineRule="auto"/>
        <w:ind w:firstLine="420" w:firstLineChars="200"/>
        <w:rPr>
          <w:rFonts w:hAnsi="宋体"/>
          <w:color w:val="auto"/>
          <w:sz w:val="21"/>
          <w:szCs w:val="21"/>
          <w:highlight w:val="none"/>
        </w:rPr>
      </w:pPr>
    </w:p>
    <w:p>
      <w:pPr>
        <w:snapToGrid w:val="0"/>
        <w:spacing w:line="360" w:lineRule="auto"/>
        <w:ind w:firstLine="420" w:firstLineChars="200"/>
        <w:rPr>
          <w:rFonts w:hAnsi="宋体"/>
          <w:color w:val="auto"/>
          <w:sz w:val="21"/>
          <w:szCs w:val="21"/>
          <w:highlight w:val="none"/>
          <w:u w:val="single"/>
        </w:rPr>
      </w:pPr>
      <w:r>
        <w:rPr>
          <w:rFonts w:hint="eastAsia" w:hAnsi="宋体"/>
          <w:color w:val="auto"/>
          <w:sz w:val="21"/>
          <w:szCs w:val="21"/>
          <w:highlight w:val="none"/>
        </w:rPr>
        <w:t>供应商名称（加盖公章）：</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日期：</w:t>
      </w:r>
    </w:p>
    <w:p>
      <w:pPr>
        <w:spacing w:line="360" w:lineRule="auto"/>
        <w:rPr>
          <w:rFonts w:hAnsi="宋体"/>
          <w:b/>
          <w:color w:val="auto"/>
          <w:sz w:val="21"/>
          <w:szCs w:val="21"/>
          <w:highlight w:val="none"/>
        </w:rPr>
      </w:pPr>
    </w:p>
    <w:p>
      <w:pPr>
        <w:spacing w:line="360" w:lineRule="auto"/>
        <w:rPr>
          <w:rFonts w:hAnsi="宋体"/>
          <w:b/>
          <w:color w:val="auto"/>
          <w:sz w:val="21"/>
          <w:szCs w:val="21"/>
          <w:highlight w:val="none"/>
        </w:rPr>
      </w:pPr>
    </w:p>
    <w:p>
      <w:pPr>
        <w:spacing w:line="360" w:lineRule="auto"/>
        <w:rPr>
          <w:rFonts w:hAnsi="宋体"/>
          <w:b/>
          <w:color w:val="auto"/>
          <w:sz w:val="21"/>
          <w:szCs w:val="21"/>
          <w:highlight w:val="none"/>
        </w:rPr>
      </w:pPr>
    </w:p>
    <w:p>
      <w:pPr>
        <w:spacing w:line="360" w:lineRule="auto"/>
        <w:rPr>
          <w:rFonts w:hAnsi="宋体"/>
          <w:b/>
          <w:color w:val="auto"/>
          <w:sz w:val="21"/>
          <w:szCs w:val="21"/>
          <w:highlight w:val="none"/>
        </w:rPr>
      </w:pPr>
    </w:p>
    <w:p>
      <w:pPr>
        <w:pStyle w:val="155"/>
        <w:spacing w:line="360" w:lineRule="auto"/>
        <w:rPr>
          <w:rFonts w:ascii="宋体" w:hAnsi="宋体" w:cs="Times New Roman"/>
          <w:color w:val="auto"/>
          <w:sz w:val="21"/>
          <w:szCs w:val="21"/>
          <w:highlight w:val="none"/>
        </w:rPr>
      </w:pPr>
      <w:r>
        <w:rPr>
          <w:rFonts w:hint="eastAsia" w:ascii="宋体" w:hAnsi="宋体" w:cs="Times New Roman"/>
          <w:color w:val="auto"/>
          <w:sz w:val="21"/>
          <w:szCs w:val="21"/>
          <w:highlight w:val="none"/>
        </w:rPr>
        <w:t>注：1）</w:t>
      </w:r>
      <w:r>
        <w:rPr>
          <w:rFonts w:hint="eastAsia" w:hAnsi="宋体"/>
          <w:color w:val="auto"/>
          <w:sz w:val="21"/>
          <w:szCs w:val="21"/>
          <w:highlight w:val="none"/>
        </w:rPr>
        <w:t>从业人员、营业收入、资产总额填报上一年度数据，无上一年度数据的新成立企业可不填报。</w:t>
      </w:r>
    </w:p>
    <w:p>
      <w:pPr>
        <w:pStyle w:val="155"/>
        <w:spacing w:line="360" w:lineRule="auto"/>
        <w:ind w:firstLine="420" w:firstLineChars="200"/>
        <w:rPr>
          <w:rFonts w:ascii="宋体" w:hAnsi="宋体" w:cs="Times New Roman"/>
          <w:bCs/>
          <w:color w:val="auto"/>
          <w:kern w:val="2"/>
          <w:sz w:val="21"/>
          <w:szCs w:val="21"/>
          <w:highlight w:val="none"/>
        </w:rPr>
      </w:pPr>
      <w:r>
        <w:rPr>
          <w:rFonts w:hint="eastAsia" w:ascii="宋体" w:hAnsi="宋体" w:cs="Times New Roman"/>
          <w:color w:val="auto"/>
          <w:sz w:val="21"/>
          <w:szCs w:val="21"/>
          <w:highlight w:val="none"/>
        </w:rPr>
        <w:t>2）根据财库〔2014〕68号《财政部司法部关于政府采购支持监狱企业发展有关问题的通知》，</w:t>
      </w:r>
      <w:r>
        <w:rPr>
          <w:rFonts w:hint="eastAsia" w:ascii="宋体" w:hAnsi="宋体" w:cs="Times New Roman"/>
          <w:bCs/>
          <w:color w:val="auto"/>
          <w:kern w:val="2"/>
          <w:sz w:val="21"/>
          <w:szCs w:val="21"/>
          <w:highlight w:val="none"/>
        </w:rPr>
        <w:t>监狱企业视同小微企业，监狱企业投标的提供由省级以上监狱管理局、戒毒管理局(含新疆生产建设兵团)出具的属于监狱企业的证明文件，不再提供《中小企业声明函》。</w:t>
      </w:r>
    </w:p>
    <w:p>
      <w:pPr>
        <w:pStyle w:val="155"/>
        <w:spacing w:line="360" w:lineRule="auto"/>
        <w:ind w:firstLine="420" w:firstLineChars="200"/>
        <w:rPr>
          <w:rFonts w:ascii="宋体" w:hAnsi="宋体" w:cs="Times New Roman"/>
          <w:color w:val="auto"/>
          <w:sz w:val="21"/>
          <w:szCs w:val="21"/>
          <w:highlight w:val="none"/>
        </w:rPr>
      </w:pPr>
      <w:r>
        <w:rPr>
          <w:rFonts w:hint="eastAsia" w:ascii="宋体" w:hAnsi="宋体" w:cs="Times New Roman"/>
          <w:color w:val="auto"/>
          <w:sz w:val="21"/>
          <w:szCs w:val="21"/>
          <w:highlight w:val="none"/>
        </w:rPr>
        <w:t>3）成交供应商享受中小企业扶持政策的，采购代理机构将随成交结果公开成交供应商的《中小企业声明函》。</w:t>
      </w:r>
    </w:p>
    <w:p>
      <w:pPr>
        <w:pStyle w:val="4"/>
        <w:pageBreakBefore/>
        <w:numPr>
          <w:ilvl w:val="0"/>
          <w:numId w:val="28"/>
        </w:numPr>
        <w:spacing w:line="360" w:lineRule="auto"/>
        <w:jc w:val="center"/>
        <w:rPr>
          <w:rFonts w:hAnsi="宋体"/>
          <w:b/>
          <w:color w:val="auto"/>
          <w:highlight w:val="none"/>
        </w:rPr>
      </w:pPr>
      <w:bookmarkStart w:id="119" w:name="_Toc2915"/>
      <w:r>
        <w:rPr>
          <w:rFonts w:hint="eastAsia" w:hAnsi="宋体"/>
          <w:b/>
          <w:color w:val="auto"/>
          <w:highlight w:val="none"/>
        </w:rPr>
        <w:t>监狱企业(可选)</w:t>
      </w:r>
      <w:bookmarkEnd w:id="119"/>
    </w:p>
    <w:p>
      <w:pPr>
        <w:spacing w:line="360" w:lineRule="auto"/>
        <w:rPr>
          <w:rFonts w:hAnsi="宋体"/>
          <w:bCs/>
          <w:color w:val="auto"/>
          <w:kern w:val="2"/>
          <w:sz w:val="21"/>
          <w:szCs w:val="21"/>
          <w:highlight w:val="none"/>
        </w:rPr>
      </w:pPr>
    </w:p>
    <w:p>
      <w:pPr>
        <w:spacing w:line="360" w:lineRule="auto"/>
        <w:rPr>
          <w:rFonts w:hAnsi="宋体"/>
          <w:bCs/>
          <w:color w:val="auto"/>
          <w:kern w:val="2"/>
          <w:sz w:val="21"/>
          <w:szCs w:val="21"/>
          <w:highlight w:val="none"/>
        </w:rPr>
      </w:pPr>
      <w:r>
        <w:rPr>
          <w:rFonts w:hint="eastAsia" w:hAnsi="宋体"/>
          <w:bCs/>
          <w:color w:val="auto"/>
          <w:kern w:val="2"/>
          <w:sz w:val="21"/>
          <w:szCs w:val="21"/>
          <w:highlight w:val="none"/>
        </w:rPr>
        <w:t>（以下格式文件由供应商根据需要选用）</w:t>
      </w:r>
    </w:p>
    <w:p>
      <w:pPr>
        <w:spacing w:line="360" w:lineRule="auto"/>
        <w:rPr>
          <w:rFonts w:hAnsi="宋体"/>
          <w:bCs/>
          <w:color w:val="auto"/>
          <w:kern w:val="2"/>
          <w:sz w:val="21"/>
          <w:szCs w:val="21"/>
          <w:highlight w:val="none"/>
        </w:rPr>
      </w:pPr>
    </w:p>
    <w:p>
      <w:pPr>
        <w:spacing w:line="360" w:lineRule="auto"/>
        <w:ind w:left="-59" w:firstLine="420" w:firstLineChars="200"/>
        <w:rPr>
          <w:rFonts w:hAnsi="宋体"/>
          <w:bCs/>
          <w:color w:val="auto"/>
          <w:kern w:val="2"/>
          <w:sz w:val="21"/>
          <w:szCs w:val="21"/>
          <w:highlight w:val="none"/>
        </w:rPr>
      </w:pPr>
      <w:r>
        <w:rPr>
          <w:rFonts w:hint="eastAsia" w:hAnsi="宋体"/>
          <w:bCs/>
          <w:color w:val="auto"/>
          <w:kern w:val="2"/>
          <w:sz w:val="21"/>
          <w:szCs w:val="21"/>
          <w:highlight w:val="none"/>
        </w:rPr>
        <w:t>提供由监狱管理局、戒毒管理局（含新疆生产建设兵团）出具的属于监狱企业的证明文件。</w:t>
      </w:r>
    </w:p>
    <w:p>
      <w:pPr>
        <w:spacing w:line="360" w:lineRule="auto"/>
        <w:ind w:left="-59" w:firstLine="420" w:firstLineChars="200"/>
        <w:rPr>
          <w:rFonts w:hAnsi="宋体"/>
          <w:bCs/>
          <w:color w:val="auto"/>
          <w:kern w:val="2"/>
          <w:sz w:val="21"/>
          <w:szCs w:val="21"/>
          <w:highlight w:val="none"/>
        </w:rPr>
      </w:pPr>
    </w:p>
    <w:p>
      <w:pPr>
        <w:spacing w:line="360" w:lineRule="auto"/>
        <w:ind w:left="-59" w:firstLine="420" w:firstLineChars="200"/>
        <w:rPr>
          <w:rFonts w:hAnsi="宋体"/>
          <w:bCs/>
          <w:color w:val="auto"/>
          <w:kern w:val="2"/>
          <w:sz w:val="21"/>
          <w:szCs w:val="21"/>
          <w:highlight w:val="none"/>
        </w:rPr>
      </w:pPr>
    </w:p>
    <w:p>
      <w:pPr>
        <w:spacing w:line="360" w:lineRule="auto"/>
        <w:ind w:left="-59" w:firstLine="420" w:firstLineChars="200"/>
        <w:rPr>
          <w:rFonts w:hAnsi="宋体"/>
          <w:bCs/>
          <w:color w:val="auto"/>
          <w:kern w:val="2"/>
          <w:sz w:val="21"/>
          <w:szCs w:val="21"/>
          <w:highlight w:val="none"/>
        </w:rPr>
      </w:pPr>
    </w:p>
    <w:p>
      <w:pPr>
        <w:snapToGrid w:val="0"/>
        <w:spacing w:line="360" w:lineRule="auto"/>
        <w:ind w:left="-59"/>
        <w:rPr>
          <w:rFonts w:hAnsi="宋体"/>
          <w:color w:val="auto"/>
          <w:sz w:val="21"/>
          <w:szCs w:val="21"/>
          <w:highlight w:val="none"/>
          <w:u w:val="single"/>
        </w:rPr>
      </w:pPr>
      <w:r>
        <w:rPr>
          <w:rFonts w:hint="eastAsia" w:hAnsi="宋体"/>
          <w:color w:val="auto"/>
          <w:sz w:val="21"/>
          <w:szCs w:val="21"/>
          <w:highlight w:val="none"/>
        </w:rPr>
        <w:t>供应商名称（加盖公章）：</w:t>
      </w:r>
    </w:p>
    <w:p>
      <w:pPr>
        <w:spacing w:line="360" w:lineRule="auto"/>
        <w:ind w:left="-59"/>
        <w:rPr>
          <w:rFonts w:hAnsi="宋体"/>
          <w:b/>
          <w:color w:val="auto"/>
          <w:sz w:val="21"/>
          <w:szCs w:val="21"/>
          <w:highlight w:val="none"/>
        </w:rPr>
      </w:pPr>
      <w:r>
        <w:rPr>
          <w:rFonts w:hint="eastAsia" w:hAnsi="宋体"/>
          <w:color w:val="auto"/>
          <w:sz w:val="21"/>
          <w:szCs w:val="21"/>
          <w:highlight w:val="none"/>
        </w:rPr>
        <w:t>日期：</w:t>
      </w:r>
    </w:p>
    <w:p>
      <w:pPr>
        <w:spacing w:line="360" w:lineRule="auto"/>
        <w:rPr>
          <w:rFonts w:hAnsi="宋体"/>
          <w:bCs/>
          <w:color w:val="auto"/>
          <w:kern w:val="2"/>
          <w:sz w:val="21"/>
          <w:szCs w:val="21"/>
          <w:highlight w:val="none"/>
        </w:rPr>
      </w:pPr>
    </w:p>
    <w:p>
      <w:pPr>
        <w:spacing w:line="360" w:lineRule="auto"/>
        <w:rPr>
          <w:rFonts w:hAnsi="宋体"/>
          <w:b/>
          <w:color w:val="auto"/>
          <w:sz w:val="21"/>
          <w:szCs w:val="21"/>
          <w:highlight w:val="none"/>
        </w:rPr>
      </w:pPr>
    </w:p>
    <w:p>
      <w:pPr>
        <w:rPr>
          <w:rFonts w:hAnsi="宋体"/>
          <w:color w:val="auto"/>
          <w:highlight w:val="none"/>
        </w:rPr>
      </w:pPr>
    </w:p>
    <w:bookmarkEnd w:id="109"/>
    <w:p>
      <w:pPr>
        <w:pStyle w:val="4"/>
        <w:pageBreakBefore/>
        <w:numPr>
          <w:ilvl w:val="0"/>
          <w:numId w:val="28"/>
        </w:numPr>
        <w:spacing w:line="360" w:lineRule="auto"/>
        <w:ind w:left="0" w:leftChars="-59" w:hanging="142" w:hangingChars="59"/>
        <w:jc w:val="center"/>
        <w:rPr>
          <w:rFonts w:hAnsi="宋体"/>
          <w:b/>
          <w:color w:val="auto"/>
          <w:highlight w:val="none"/>
        </w:rPr>
      </w:pPr>
      <w:bookmarkStart w:id="120" w:name="_Toc17766"/>
      <w:bookmarkStart w:id="121" w:name="OLE_LINK13"/>
      <w:bookmarkStart w:id="122" w:name="OLE_LINK14"/>
      <w:r>
        <w:rPr>
          <w:rFonts w:hint="eastAsia" w:hAnsi="宋体"/>
          <w:b/>
          <w:color w:val="auto"/>
          <w:highlight w:val="none"/>
        </w:rPr>
        <w:t>残疾人福利性单位声明函(可选)</w:t>
      </w:r>
      <w:bookmarkEnd w:id="120"/>
    </w:p>
    <w:bookmarkEnd w:id="121"/>
    <w:bookmarkEnd w:id="122"/>
    <w:p>
      <w:pPr>
        <w:spacing w:line="360" w:lineRule="auto"/>
        <w:rPr>
          <w:rFonts w:hAnsi="宋体"/>
          <w:bCs/>
          <w:color w:val="auto"/>
          <w:kern w:val="2"/>
          <w:sz w:val="21"/>
          <w:szCs w:val="21"/>
          <w:highlight w:val="none"/>
        </w:rPr>
      </w:pPr>
    </w:p>
    <w:p>
      <w:pPr>
        <w:spacing w:line="360" w:lineRule="auto"/>
        <w:rPr>
          <w:rFonts w:hAnsi="宋体"/>
          <w:bCs/>
          <w:color w:val="auto"/>
          <w:kern w:val="2"/>
          <w:sz w:val="21"/>
          <w:szCs w:val="21"/>
          <w:highlight w:val="none"/>
        </w:rPr>
      </w:pPr>
      <w:r>
        <w:rPr>
          <w:rFonts w:hint="eastAsia" w:hAnsi="宋体"/>
          <w:bCs/>
          <w:color w:val="auto"/>
          <w:kern w:val="2"/>
          <w:sz w:val="21"/>
          <w:szCs w:val="21"/>
          <w:highlight w:val="none"/>
        </w:rPr>
        <w:t>（以下格式文件由供应商根据需要选用）</w:t>
      </w:r>
    </w:p>
    <w:p>
      <w:pPr>
        <w:spacing w:line="360" w:lineRule="auto"/>
        <w:rPr>
          <w:rFonts w:hAnsi="宋体"/>
          <w:bCs/>
          <w:color w:val="auto"/>
          <w:kern w:val="2"/>
          <w:sz w:val="21"/>
          <w:szCs w:val="21"/>
          <w:highlight w:val="none"/>
        </w:rPr>
      </w:pPr>
    </w:p>
    <w:p>
      <w:pPr>
        <w:spacing w:line="360" w:lineRule="auto"/>
        <w:ind w:left="-59" w:firstLine="420" w:firstLineChars="200"/>
        <w:rPr>
          <w:rFonts w:hAnsi="宋体"/>
          <w:bCs/>
          <w:color w:val="auto"/>
          <w:kern w:val="2"/>
          <w:sz w:val="21"/>
          <w:szCs w:val="21"/>
          <w:highlight w:val="none"/>
        </w:rPr>
      </w:pPr>
      <w:r>
        <w:rPr>
          <w:rFonts w:hint="eastAsia" w:hAnsi="宋体"/>
          <w:bCs/>
          <w:color w:val="auto"/>
          <w:kern w:val="2"/>
          <w:sz w:val="21"/>
          <w:szCs w:val="21"/>
          <w:highlight w:val="none"/>
        </w:rPr>
        <w:t>本单位郑重声明，根据《财政部 民政部 中国残疾人联合会关于促进残疾人就业政府采购政策的通知》（财库〔2017〕141号）的规定，本单位为符合条件的残疾人福利性单位，且本单位参加______单位的______项目采购活动提供本单位制造的货物（由本单位承担工程/提供服务），或者提供其他残疾人福利性单位制造的货物（不包括使用非残疾人福利性单位注册商标的货物）。</w:t>
      </w:r>
    </w:p>
    <w:p>
      <w:pPr>
        <w:spacing w:line="360" w:lineRule="auto"/>
        <w:ind w:left="-59" w:firstLine="420" w:firstLineChars="200"/>
        <w:rPr>
          <w:rFonts w:hAnsi="宋体"/>
          <w:bCs/>
          <w:color w:val="auto"/>
          <w:kern w:val="2"/>
          <w:sz w:val="21"/>
          <w:szCs w:val="21"/>
          <w:highlight w:val="none"/>
        </w:rPr>
      </w:pPr>
      <w:r>
        <w:rPr>
          <w:rFonts w:hint="eastAsia" w:hAnsi="宋体"/>
          <w:bCs/>
          <w:color w:val="auto"/>
          <w:kern w:val="2"/>
          <w:sz w:val="21"/>
          <w:szCs w:val="21"/>
          <w:highlight w:val="none"/>
        </w:rPr>
        <w:t>本单位对上述声明的真实性负责。如有虚假，将依法承担相应责任。</w:t>
      </w:r>
    </w:p>
    <w:p>
      <w:pPr>
        <w:spacing w:line="360" w:lineRule="auto"/>
        <w:ind w:left="-59" w:firstLine="420" w:firstLineChars="200"/>
        <w:rPr>
          <w:rFonts w:hAnsi="宋体"/>
          <w:bCs/>
          <w:color w:val="auto"/>
          <w:kern w:val="2"/>
          <w:sz w:val="21"/>
          <w:szCs w:val="21"/>
          <w:highlight w:val="none"/>
        </w:rPr>
      </w:pPr>
    </w:p>
    <w:p>
      <w:pPr>
        <w:spacing w:line="360" w:lineRule="auto"/>
        <w:ind w:left="-59" w:firstLine="420" w:firstLineChars="200"/>
        <w:rPr>
          <w:rFonts w:hAnsi="宋体"/>
          <w:bCs/>
          <w:color w:val="auto"/>
          <w:kern w:val="2"/>
          <w:sz w:val="21"/>
          <w:szCs w:val="21"/>
          <w:highlight w:val="none"/>
        </w:rPr>
      </w:pPr>
    </w:p>
    <w:p>
      <w:pPr>
        <w:spacing w:line="360" w:lineRule="auto"/>
        <w:ind w:left="-59" w:firstLine="420" w:firstLineChars="200"/>
        <w:rPr>
          <w:rFonts w:hAnsi="宋体"/>
          <w:bCs/>
          <w:color w:val="auto"/>
          <w:kern w:val="2"/>
          <w:sz w:val="21"/>
          <w:szCs w:val="21"/>
          <w:highlight w:val="none"/>
        </w:rPr>
      </w:pPr>
    </w:p>
    <w:p>
      <w:pPr>
        <w:snapToGrid w:val="0"/>
        <w:spacing w:line="360" w:lineRule="auto"/>
        <w:ind w:left="-59"/>
        <w:rPr>
          <w:rFonts w:hAnsi="宋体"/>
          <w:color w:val="auto"/>
          <w:sz w:val="21"/>
          <w:szCs w:val="21"/>
          <w:highlight w:val="none"/>
          <w:u w:val="single"/>
        </w:rPr>
      </w:pPr>
      <w:r>
        <w:rPr>
          <w:rFonts w:hint="eastAsia" w:hAnsi="宋体"/>
          <w:color w:val="auto"/>
          <w:sz w:val="21"/>
          <w:szCs w:val="21"/>
          <w:highlight w:val="none"/>
        </w:rPr>
        <w:t>供应商名称（加盖公章）：</w:t>
      </w:r>
    </w:p>
    <w:p>
      <w:pPr>
        <w:spacing w:line="360" w:lineRule="auto"/>
        <w:ind w:left="-59"/>
        <w:rPr>
          <w:rFonts w:hAnsi="宋体"/>
          <w:b/>
          <w:color w:val="auto"/>
          <w:sz w:val="21"/>
          <w:szCs w:val="21"/>
          <w:highlight w:val="none"/>
        </w:rPr>
      </w:pPr>
      <w:r>
        <w:rPr>
          <w:rFonts w:hint="eastAsia" w:hAnsi="宋体"/>
          <w:color w:val="auto"/>
          <w:sz w:val="21"/>
          <w:szCs w:val="21"/>
          <w:highlight w:val="none"/>
        </w:rPr>
        <w:t>日期：</w:t>
      </w:r>
    </w:p>
    <w:p>
      <w:pPr>
        <w:spacing w:line="360" w:lineRule="auto"/>
        <w:rPr>
          <w:rFonts w:hAnsi="宋体"/>
          <w:bCs/>
          <w:color w:val="auto"/>
          <w:kern w:val="2"/>
          <w:sz w:val="21"/>
          <w:szCs w:val="21"/>
          <w:highlight w:val="none"/>
        </w:rPr>
      </w:pPr>
    </w:p>
    <w:p>
      <w:pPr>
        <w:pStyle w:val="155"/>
        <w:spacing w:line="360" w:lineRule="auto"/>
        <w:rPr>
          <w:rFonts w:ascii="宋体" w:hAnsi="宋体" w:cs="Times New Roman"/>
          <w:color w:val="auto"/>
          <w:sz w:val="21"/>
          <w:szCs w:val="21"/>
          <w:highlight w:val="none"/>
        </w:rPr>
      </w:pPr>
      <w:r>
        <w:rPr>
          <w:rFonts w:hint="eastAsia" w:ascii="宋体" w:hAnsi="宋体" w:cs="Times New Roman"/>
          <w:color w:val="auto"/>
          <w:sz w:val="21"/>
          <w:szCs w:val="21"/>
          <w:highlight w:val="none"/>
        </w:rPr>
        <w:t>注：1）</w:t>
      </w:r>
      <w:r>
        <w:rPr>
          <w:rFonts w:ascii="宋体" w:hAnsi="宋体" w:cs="Times New Roman"/>
          <w:bCs/>
          <w:color w:val="auto"/>
          <w:kern w:val="2"/>
          <w:sz w:val="21"/>
          <w:szCs w:val="21"/>
          <w:highlight w:val="none"/>
        </w:rPr>
        <w:t>符合</w:t>
      </w:r>
      <w:r>
        <w:rPr>
          <w:rFonts w:hint="eastAsia" w:ascii="宋体" w:hAnsi="宋体"/>
          <w:bCs/>
          <w:color w:val="auto"/>
          <w:kern w:val="2"/>
          <w:sz w:val="21"/>
          <w:szCs w:val="21"/>
          <w:highlight w:val="none"/>
        </w:rPr>
        <w:t>《财政部 民政部 中国残疾人联合会关于促进残疾人就业政府采购政策的通知》（财库〔2017〕141号）规定</w:t>
      </w:r>
      <w:r>
        <w:rPr>
          <w:rFonts w:ascii="宋体" w:hAnsi="宋体" w:cs="Times New Roman"/>
          <w:bCs/>
          <w:color w:val="auto"/>
          <w:kern w:val="2"/>
          <w:sz w:val="21"/>
          <w:szCs w:val="21"/>
          <w:highlight w:val="none"/>
        </w:rPr>
        <w:t>条件的残疾人福利性单位应当提供《残疾人福利性单位声明函》</w:t>
      </w:r>
      <w:r>
        <w:rPr>
          <w:rFonts w:hint="eastAsia" w:ascii="宋体" w:hAnsi="宋体" w:cs="Times New Roman"/>
          <w:bCs/>
          <w:color w:val="auto"/>
          <w:kern w:val="2"/>
          <w:sz w:val="21"/>
          <w:szCs w:val="21"/>
          <w:highlight w:val="none"/>
        </w:rPr>
        <w:t>。</w:t>
      </w:r>
    </w:p>
    <w:p>
      <w:pPr>
        <w:pStyle w:val="155"/>
        <w:spacing w:line="360" w:lineRule="auto"/>
        <w:ind w:firstLine="420" w:firstLineChars="200"/>
        <w:rPr>
          <w:rFonts w:ascii="宋体" w:hAnsi="宋体" w:cs="Times New Roman"/>
          <w:color w:val="auto"/>
          <w:sz w:val="21"/>
          <w:szCs w:val="21"/>
          <w:highlight w:val="none"/>
        </w:rPr>
      </w:pPr>
      <w:r>
        <w:rPr>
          <w:rFonts w:hint="eastAsia" w:ascii="宋体" w:hAnsi="宋体" w:cs="Times New Roman"/>
          <w:color w:val="auto"/>
          <w:sz w:val="21"/>
          <w:szCs w:val="21"/>
          <w:highlight w:val="none"/>
        </w:rPr>
        <w:t>2）成交供应商</w:t>
      </w:r>
      <w:r>
        <w:rPr>
          <w:rFonts w:ascii="宋体" w:hAnsi="宋体" w:cs="Times New Roman"/>
          <w:color w:val="auto"/>
          <w:sz w:val="21"/>
          <w:szCs w:val="21"/>
          <w:highlight w:val="none"/>
        </w:rPr>
        <w:t>为残疾人福利性单位的，采购代理机构</w:t>
      </w:r>
      <w:r>
        <w:rPr>
          <w:rFonts w:hint="eastAsia" w:ascii="宋体" w:hAnsi="宋体" w:cs="Times New Roman"/>
          <w:color w:val="auto"/>
          <w:sz w:val="21"/>
          <w:szCs w:val="21"/>
          <w:highlight w:val="none"/>
        </w:rPr>
        <w:t>将</w:t>
      </w:r>
      <w:r>
        <w:rPr>
          <w:rFonts w:ascii="宋体" w:hAnsi="宋体" w:cs="Times New Roman"/>
          <w:color w:val="auto"/>
          <w:sz w:val="21"/>
          <w:szCs w:val="21"/>
          <w:highlight w:val="none"/>
        </w:rPr>
        <w:t>随</w:t>
      </w:r>
      <w:r>
        <w:rPr>
          <w:rFonts w:hint="eastAsia" w:ascii="宋体" w:hAnsi="宋体" w:cs="Times New Roman"/>
          <w:color w:val="auto"/>
          <w:sz w:val="21"/>
          <w:szCs w:val="21"/>
          <w:highlight w:val="none"/>
        </w:rPr>
        <w:t>成交</w:t>
      </w:r>
      <w:r>
        <w:rPr>
          <w:rFonts w:ascii="宋体" w:hAnsi="宋体" w:cs="Times New Roman"/>
          <w:color w:val="auto"/>
          <w:sz w:val="21"/>
          <w:szCs w:val="21"/>
          <w:highlight w:val="none"/>
        </w:rPr>
        <w:t>结果同时公告其《残疾人福利性单位声明函》，接受社会监督。</w:t>
      </w:r>
    </w:p>
    <w:p>
      <w:pPr>
        <w:pStyle w:val="155"/>
        <w:spacing w:line="360" w:lineRule="auto"/>
        <w:rPr>
          <w:rFonts w:ascii="宋体" w:hAnsi="宋体" w:cs="Times New Roman"/>
          <w:color w:val="auto"/>
          <w:sz w:val="21"/>
          <w:szCs w:val="21"/>
          <w:highlight w:val="none"/>
        </w:rPr>
      </w:pPr>
      <w:r>
        <w:rPr>
          <w:rFonts w:ascii="宋体" w:hAnsi="宋体" w:cs="Times New Roman"/>
          <w:color w:val="auto"/>
          <w:sz w:val="21"/>
          <w:szCs w:val="21"/>
          <w:highlight w:val="none"/>
        </w:rPr>
        <w:t>　　</w:t>
      </w:r>
      <w:r>
        <w:rPr>
          <w:rFonts w:hint="eastAsia" w:ascii="宋体" w:hAnsi="宋体" w:cs="Times New Roman"/>
          <w:color w:val="auto"/>
          <w:sz w:val="21"/>
          <w:szCs w:val="21"/>
          <w:highlight w:val="none"/>
        </w:rPr>
        <w:t>3）供应商</w:t>
      </w:r>
      <w:r>
        <w:rPr>
          <w:rFonts w:ascii="宋体" w:hAnsi="宋体" w:cs="Times New Roman"/>
          <w:color w:val="auto"/>
          <w:sz w:val="21"/>
          <w:szCs w:val="21"/>
          <w:highlight w:val="none"/>
        </w:rPr>
        <w:t>提供的《残疾人福利性单位声明函》与事实不符的，依照《</w:t>
      </w:r>
      <w:r>
        <w:rPr>
          <w:rFonts w:hint="eastAsia" w:hAnsi="宋体"/>
          <w:color w:val="auto"/>
          <w:sz w:val="21"/>
          <w:szCs w:val="21"/>
          <w:highlight w:val="none"/>
        </w:rPr>
        <w:t>中华人民共和国</w:t>
      </w:r>
      <w:r>
        <w:rPr>
          <w:rFonts w:ascii="宋体" w:hAnsi="宋体" w:cs="Times New Roman"/>
          <w:color w:val="auto"/>
          <w:sz w:val="21"/>
          <w:szCs w:val="21"/>
          <w:highlight w:val="none"/>
        </w:rPr>
        <w:t>政府采购法》第七十七条第一款的规定追究法律责任。</w:t>
      </w:r>
    </w:p>
    <w:p>
      <w:pPr>
        <w:pStyle w:val="155"/>
        <w:spacing w:line="360" w:lineRule="auto"/>
        <w:ind w:firstLine="420" w:firstLineChars="200"/>
        <w:rPr>
          <w:rFonts w:ascii="宋体" w:hAnsi="宋体" w:cs="Times New Roman"/>
          <w:color w:val="auto"/>
          <w:sz w:val="21"/>
          <w:szCs w:val="21"/>
          <w:highlight w:val="none"/>
        </w:rPr>
      </w:pPr>
      <w:r>
        <w:rPr>
          <w:rFonts w:hint="eastAsia" w:ascii="宋体" w:hAnsi="宋体" w:cs="Times New Roman"/>
          <w:color w:val="auto"/>
          <w:sz w:val="21"/>
          <w:szCs w:val="21"/>
          <w:highlight w:val="none"/>
        </w:rPr>
        <w:t>4）</w:t>
      </w:r>
      <w:r>
        <w:rPr>
          <w:rFonts w:ascii="宋体" w:hAnsi="宋体" w:cs="Times New Roman"/>
          <w:color w:val="auto"/>
          <w:sz w:val="21"/>
          <w:szCs w:val="21"/>
          <w:highlight w:val="none"/>
        </w:rPr>
        <w:t>残疾人福利性单位视同小型、微型企业，享受评审中价格扣除。残疾人福利性单位属于小型、微型企业的，不重复享受政策。</w:t>
      </w:r>
    </w:p>
    <w:p>
      <w:pPr>
        <w:spacing w:line="360" w:lineRule="auto"/>
        <w:rPr>
          <w:rFonts w:hAnsi="宋体"/>
          <w:b/>
          <w:color w:val="auto"/>
          <w:sz w:val="21"/>
          <w:szCs w:val="21"/>
          <w:highlight w:val="none"/>
        </w:rPr>
      </w:pPr>
    </w:p>
    <w:p>
      <w:pPr>
        <w:pStyle w:val="4"/>
        <w:pageBreakBefore/>
        <w:numPr>
          <w:ilvl w:val="0"/>
          <w:numId w:val="28"/>
        </w:numPr>
        <w:spacing w:line="360" w:lineRule="auto"/>
        <w:ind w:left="0" w:leftChars="-59" w:hanging="142" w:hangingChars="59"/>
        <w:jc w:val="center"/>
        <w:rPr>
          <w:rFonts w:hAnsi="宋体"/>
          <w:b/>
          <w:color w:val="auto"/>
          <w:highlight w:val="none"/>
        </w:rPr>
      </w:pPr>
      <w:bookmarkStart w:id="123" w:name="_Toc22429"/>
      <w:r>
        <w:rPr>
          <w:b/>
          <w:color w:val="auto"/>
          <w:highlight w:val="none"/>
        </w:rPr>
        <w:t>联合体共同响应协议书</w:t>
      </w:r>
      <w:r>
        <w:rPr>
          <w:rFonts w:hint="eastAsia" w:hAnsi="宋体"/>
          <w:b/>
          <w:color w:val="auto"/>
          <w:highlight w:val="none"/>
        </w:rPr>
        <w:t>(可选)</w:t>
      </w:r>
      <w:bookmarkEnd w:id="123"/>
    </w:p>
    <w:p>
      <w:pPr>
        <w:autoSpaceDE/>
        <w:autoSpaceDN/>
        <w:spacing w:line="320" w:lineRule="exact"/>
        <w:ind w:firstLine="480"/>
        <w:rPr>
          <w:color w:val="auto"/>
          <w:sz w:val="21"/>
          <w:szCs w:val="21"/>
          <w:highlight w:val="none"/>
        </w:rPr>
      </w:pPr>
      <w:r>
        <w:rPr>
          <w:color w:val="auto"/>
          <w:sz w:val="21"/>
          <w:szCs w:val="21"/>
          <w:highlight w:val="none"/>
        </w:rPr>
        <w:t>（以下格式文件由供应商根据需要选用）</w:t>
      </w:r>
    </w:p>
    <w:p>
      <w:pPr>
        <w:autoSpaceDE/>
        <w:autoSpaceDN/>
        <w:spacing w:line="320" w:lineRule="exact"/>
        <w:jc w:val="center"/>
        <w:rPr>
          <w:color w:val="auto"/>
          <w:sz w:val="21"/>
          <w:szCs w:val="21"/>
          <w:highlight w:val="none"/>
        </w:rPr>
      </w:pPr>
    </w:p>
    <w:p>
      <w:pPr>
        <w:autoSpaceDE/>
        <w:autoSpaceDN/>
        <w:spacing w:line="320" w:lineRule="exact"/>
        <w:ind w:firstLine="480"/>
        <w:rPr>
          <w:color w:val="auto"/>
          <w:sz w:val="21"/>
          <w:szCs w:val="21"/>
          <w:highlight w:val="none"/>
        </w:rPr>
      </w:pPr>
      <w:r>
        <w:rPr>
          <w:color w:val="auto"/>
          <w:sz w:val="21"/>
          <w:szCs w:val="21"/>
          <w:highlight w:val="none"/>
        </w:rPr>
        <w:t>立约方：</w:t>
      </w:r>
      <w:r>
        <w:rPr>
          <w:color w:val="auto"/>
          <w:sz w:val="21"/>
          <w:szCs w:val="21"/>
          <w:highlight w:val="none"/>
          <w:u w:val="single"/>
        </w:rPr>
        <w:t>（甲公司全称）</w:t>
      </w:r>
    </w:p>
    <w:p>
      <w:pPr>
        <w:autoSpaceDE/>
        <w:autoSpaceDN/>
        <w:spacing w:line="320" w:lineRule="exact"/>
        <w:ind w:firstLine="480"/>
        <w:rPr>
          <w:color w:val="auto"/>
          <w:sz w:val="21"/>
          <w:szCs w:val="21"/>
          <w:highlight w:val="none"/>
        </w:rPr>
      </w:pPr>
      <w:r>
        <w:rPr>
          <w:color w:val="auto"/>
          <w:sz w:val="21"/>
          <w:szCs w:val="21"/>
          <w:highlight w:val="none"/>
          <w:u w:val="single"/>
        </w:rPr>
        <w:t>（乙公司全称）</w:t>
      </w:r>
    </w:p>
    <w:p>
      <w:pPr>
        <w:autoSpaceDE/>
        <w:autoSpaceDN/>
        <w:spacing w:line="320" w:lineRule="exact"/>
        <w:ind w:firstLine="480"/>
        <w:rPr>
          <w:color w:val="auto"/>
          <w:sz w:val="21"/>
          <w:szCs w:val="21"/>
          <w:highlight w:val="none"/>
        </w:rPr>
      </w:pPr>
      <w:r>
        <w:rPr>
          <w:color w:val="auto"/>
          <w:sz w:val="21"/>
          <w:szCs w:val="21"/>
          <w:highlight w:val="none"/>
          <w:u w:val="single"/>
        </w:rPr>
        <w:t>（……公司全称）</w:t>
      </w:r>
    </w:p>
    <w:p>
      <w:pPr>
        <w:autoSpaceDE/>
        <w:autoSpaceDN/>
        <w:spacing w:line="320" w:lineRule="exact"/>
        <w:ind w:firstLine="480"/>
        <w:rPr>
          <w:color w:val="auto"/>
          <w:sz w:val="21"/>
          <w:szCs w:val="21"/>
          <w:highlight w:val="none"/>
        </w:rPr>
      </w:pPr>
      <w:r>
        <w:rPr>
          <w:color w:val="auto"/>
          <w:sz w:val="21"/>
          <w:szCs w:val="21"/>
          <w:highlight w:val="none"/>
          <w:u w:val="single"/>
        </w:rPr>
        <w:t>（甲公司全称）、（乙公司全称）、（……公司全称）</w:t>
      </w:r>
      <w:r>
        <w:rPr>
          <w:color w:val="auto"/>
          <w:sz w:val="21"/>
          <w:szCs w:val="21"/>
          <w:highlight w:val="none"/>
        </w:rPr>
        <w:t>自愿组成联合体，以一个供应商的身份共同参加（采购项目名称）（采购项目编号）的响应活动。经各方充分协商一致，就项目的响应和合同实施阶段的有关事务协商一致订立协议如下：</w:t>
      </w:r>
    </w:p>
    <w:p>
      <w:pPr>
        <w:autoSpaceDE/>
        <w:autoSpaceDN/>
        <w:spacing w:line="320" w:lineRule="exact"/>
        <w:ind w:firstLine="480"/>
        <w:rPr>
          <w:color w:val="auto"/>
          <w:sz w:val="21"/>
          <w:szCs w:val="21"/>
          <w:highlight w:val="none"/>
        </w:rPr>
      </w:pPr>
      <w:r>
        <w:rPr>
          <w:color w:val="auto"/>
          <w:sz w:val="21"/>
          <w:szCs w:val="21"/>
          <w:highlight w:val="none"/>
        </w:rPr>
        <w:t>一、联合体各方关系</w:t>
      </w:r>
    </w:p>
    <w:p>
      <w:pPr>
        <w:autoSpaceDE/>
        <w:autoSpaceDN/>
        <w:spacing w:line="320" w:lineRule="exact"/>
        <w:ind w:firstLine="480"/>
        <w:rPr>
          <w:color w:val="auto"/>
          <w:sz w:val="21"/>
          <w:szCs w:val="21"/>
          <w:highlight w:val="none"/>
        </w:rPr>
      </w:pPr>
      <w:r>
        <w:rPr>
          <w:rFonts w:hint="eastAsia"/>
          <w:color w:val="auto"/>
          <w:sz w:val="21"/>
          <w:szCs w:val="21"/>
          <w:highlight w:val="none"/>
          <w:u w:val="single"/>
          <w:lang w:val="en-US" w:eastAsia="zh-CN"/>
        </w:rPr>
        <w:t>1.</w:t>
      </w:r>
      <w:r>
        <w:rPr>
          <w:color w:val="auto"/>
          <w:sz w:val="21"/>
          <w:szCs w:val="21"/>
          <w:highlight w:val="none"/>
          <w:u w:val="single"/>
        </w:rPr>
        <w:t>（甲公司全称）、（乙公司全称）、（……公司全称）</w:t>
      </w:r>
      <w:r>
        <w:rPr>
          <w:color w:val="auto"/>
          <w:sz w:val="21"/>
          <w:szCs w:val="21"/>
          <w:highlight w:val="none"/>
        </w:rPr>
        <w:t>共同组成一个联合体，以一个供应商的身份共同参加本项目的响应。（甲公司全称）、（乙公司全称）、（……公司全称）作为联合体成员，若成交，联合体各方共同与（采购人）签订政府采购合同。</w:t>
      </w:r>
    </w:p>
    <w:p>
      <w:pPr>
        <w:autoSpaceDE/>
        <w:autoSpaceDN/>
        <w:spacing w:line="320" w:lineRule="exact"/>
        <w:ind w:firstLine="480"/>
        <w:rPr>
          <w:rFonts w:hint="default" w:eastAsia="宋体"/>
          <w:color w:val="auto"/>
          <w:sz w:val="21"/>
          <w:szCs w:val="21"/>
          <w:highlight w:val="none"/>
          <w:lang w:val="en-US" w:eastAsia="zh-CN"/>
        </w:rPr>
      </w:pPr>
      <w:r>
        <w:rPr>
          <w:rFonts w:hint="eastAsia"/>
          <w:color w:val="auto"/>
          <w:sz w:val="21"/>
          <w:szCs w:val="21"/>
          <w:highlight w:val="none"/>
          <w:lang w:val="en-US" w:eastAsia="zh-CN"/>
        </w:rPr>
        <w:t>2.本次投标中，以（公司全称）为联合体牵头人，其余公司为联合体成员。</w:t>
      </w:r>
      <w:r>
        <w:rPr>
          <w:rFonts w:hint="eastAsia" w:hAnsi="宋体"/>
          <w:color w:val="auto"/>
          <w:sz w:val="21"/>
          <w:szCs w:val="21"/>
          <w:highlight w:val="none"/>
        </w:rPr>
        <w:t>响应文件中的联合体协议书</w:t>
      </w:r>
      <w:r>
        <w:rPr>
          <w:rFonts w:hint="eastAsia" w:hAnsi="宋体"/>
          <w:color w:val="auto"/>
          <w:sz w:val="21"/>
          <w:szCs w:val="21"/>
          <w:highlight w:val="none"/>
          <w:lang w:val="en-US" w:eastAsia="zh-CN"/>
        </w:rPr>
        <w:t>须由</w:t>
      </w:r>
      <w:r>
        <w:rPr>
          <w:rFonts w:hint="eastAsia" w:hAnsi="宋体"/>
          <w:color w:val="auto"/>
          <w:sz w:val="21"/>
          <w:szCs w:val="21"/>
          <w:highlight w:val="none"/>
        </w:rPr>
        <w:t>各方联合体均盖章、签字（或盖章），“供应商名称”应填写联合体全体单位全称</w:t>
      </w:r>
      <w:r>
        <w:rPr>
          <w:rFonts w:hint="eastAsia" w:hAnsi="宋体"/>
          <w:color w:val="auto"/>
          <w:sz w:val="21"/>
          <w:szCs w:val="21"/>
          <w:highlight w:val="none"/>
          <w:lang w:eastAsia="zh-CN"/>
        </w:rPr>
        <w:t>。</w:t>
      </w:r>
      <w:r>
        <w:rPr>
          <w:rFonts w:hint="eastAsia" w:hAnsi="宋体"/>
          <w:color w:val="auto"/>
          <w:sz w:val="21"/>
          <w:szCs w:val="21"/>
          <w:highlight w:val="none"/>
        </w:rPr>
        <w:t>响应文件其他</w:t>
      </w:r>
      <w:r>
        <w:rPr>
          <w:rFonts w:hint="eastAsia"/>
          <w:color w:val="auto"/>
          <w:sz w:val="21"/>
          <w:szCs w:val="21"/>
          <w:highlight w:val="none"/>
          <w:lang w:val="en-US" w:eastAsia="zh-CN"/>
        </w:rPr>
        <w:t>所有要求盖章的地方</w:t>
      </w:r>
      <w:r>
        <w:rPr>
          <w:rFonts w:hint="eastAsia" w:hAnsi="宋体"/>
          <w:color w:val="auto"/>
          <w:sz w:val="21"/>
          <w:szCs w:val="21"/>
          <w:highlight w:val="none"/>
        </w:rPr>
        <w:t>，</w:t>
      </w:r>
      <w:r>
        <w:rPr>
          <w:rFonts w:hint="eastAsia" w:hAnsi="宋体"/>
          <w:color w:val="auto"/>
          <w:sz w:val="21"/>
          <w:szCs w:val="21"/>
          <w:highlight w:val="none"/>
          <w:lang w:val="en-US" w:eastAsia="zh-CN"/>
        </w:rPr>
        <w:t>须</w:t>
      </w:r>
      <w:r>
        <w:rPr>
          <w:rFonts w:hint="eastAsia" w:hAnsi="宋体"/>
          <w:color w:val="auto"/>
          <w:sz w:val="21"/>
          <w:szCs w:val="21"/>
          <w:highlight w:val="none"/>
        </w:rPr>
        <w:t>由</w:t>
      </w:r>
      <w:r>
        <w:rPr>
          <w:rFonts w:hint="eastAsia"/>
          <w:color w:val="auto"/>
          <w:sz w:val="21"/>
          <w:szCs w:val="21"/>
          <w:highlight w:val="none"/>
          <w:lang w:val="en-US" w:eastAsia="zh-CN"/>
        </w:rPr>
        <w:t>联合体牵头人</w:t>
      </w:r>
      <w:r>
        <w:rPr>
          <w:rFonts w:hint="eastAsia" w:hAnsi="宋体"/>
          <w:color w:val="auto"/>
          <w:sz w:val="21"/>
          <w:szCs w:val="21"/>
          <w:highlight w:val="none"/>
          <w:lang w:val="en-US" w:eastAsia="zh-CN"/>
        </w:rPr>
        <w:t>加盖公章</w:t>
      </w:r>
      <w:r>
        <w:rPr>
          <w:rFonts w:hint="eastAsia" w:hAnsi="宋体"/>
          <w:color w:val="auto"/>
          <w:sz w:val="21"/>
          <w:szCs w:val="21"/>
          <w:highlight w:val="none"/>
        </w:rPr>
        <w:t>、签字（或盖章）</w:t>
      </w:r>
      <w:r>
        <w:rPr>
          <w:rFonts w:hint="eastAsia" w:hAnsi="宋体"/>
          <w:color w:val="auto"/>
          <w:sz w:val="21"/>
          <w:szCs w:val="21"/>
          <w:highlight w:val="none"/>
          <w:lang w:eastAsia="zh-CN"/>
        </w:rPr>
        <w:t>，</w:t>
      </w:r>
      <w:r>
        <w:rPr>
          <w:rFonts w:hint="eastAsia" w:hAnsi="宋体"/>
          <w:color w:val="auto"/>
          <w:sz w:val="21"/>
          <w:szCs w:val="21"/>
          <w:highlight w:val="none"/>
        </w:rPr>
        <w:t>无需联合体各方共同加盖公章、签字（或盖章）</w:t>
      </w:r>
      <w:r>
        <w:rPr>
          <w:rFonts w:hint="eastAsia"/>
          <w:color w:val="auto"/>
          <w:sz w:val="21"/>
          <w:szCs w:val="21"/>
          <w:highlight w:val="none"/>
          <w:lang w:val="en-US" w:eastAsia="zh-CN"/>
        </w:rPr>
        <w:t>（除非采购文件该处特殊要求）。</w:t>
      </w:r>
    </w:p>
    <w:p>
      <w:pPr>
        <w:autoSpaceDE/>
        <w:autoSpaceDN/>
        <w:spacing w:line="320" w:lineRule="exact"/>
        <w:ind w:firstLine="480"/>
        <w:rPr>
          <w:rFonts w:hint="eastAsia" w:eastAsia="宋体"/>
          <w:color w:val="auto"/>
          <w:sz w:val="21"/>
          <w:szCs w:val="21"/>
          <w:highlight w:val="none"/>
          <w:lang w:val="en-US" w:eastAsia="zh-CN"/>
        </w:rPr>
      </w:pPr>
      <w:r>
        <w:rPr>
          <w:color w:val="auto"/>
          <w:sz w:val="21"/>
          <w:szCs w:val="21"/>
          <w:highlight w:val="none"/>
        </w:rPr>
        <w:t>二、联合体内部有关事项约定如下：</w:t>
      </w:r>
    </w:p>
    <w:p>
      <w:pPr>
        <w:autoSpaceDE/>
        <w:autoSpaceDN/>
        <w:spacing w:line="320" w:lineRule="exact"/>
        <w:ind w:firstLine="480"/>
        <w:rPr>
          <w:color w:val="auto"/>
          <w:sz w:val="21"/>
          <w:szCs w:val="21"/>
          <w:highlight w:val="none"/>
        </w:rPr>
      </w:pPr>
      <w:r>
        <w:rPr>
          <w:color w:val="auto"/>
          <w:sz w:val="21"/>
          <w:szCs w:val="21"/>
          <w:highlight w:val="none"/>
        </w:rPr>
        <w:t>1.（甲公司全称）作为联合体的牵头单位，代表联合体双方负责响应和合同实施阶段的主办、协调工作。</w:t>
      </w:r>
    </w:p>
    <w:p>
      <w:pPr>
        <w:autoSpaceDE/>
        <w:autoSpaceDN/>
        <w:spacing w:line="320" w:lineRule="exact"/>
        <w:ind w:firstLine="480"/>
        <w:rPr>
          <w:color w:val="auto"/>
          <w:sz w:val="21"/>
          <w:szCs w:val="21"/>
          <w:highlight w:val="none"/>
        </w:rPr>
      </w:pPr>
      <w:r>
        <w:rPr>
          <w:color w:val="auto"/>
          <w:sz w:val="21"/>
          <w:szCs w:val="21"/>
          <w:highlight w:val="none"/>
        </w:rPr>
        <w:t>2.联合体将严格按照文件的各项要求，递交响应文件，切实执行一切合同文件，共同承担合同规定的一切义务和责任，同时按照内部职责的划分，承担自身所负的责任和风险，在法律上承担连带责任。</w:t>
      </w:r>
    </w:p>
    <w:p>
      <w:pPr>
        <w:autoSpaceDE/>
        <w:autoSpaceDN/>
        <w:spacing w:line="320" w:lineRule="exact"/>
        <w:ind w:firstLine="480"/>
        <w:rPr>
          <w:color w:val="auto"/>
          <w:sz w:val="21"/>
          <w:szCs w:val="21"/>
          <w:highlight w:val="none"/>
        </w:rPr>
      </w:pPr>
      <w:r>
        <w:rPr>
          <w:color w:val="auto"/>
          <w:sz w:val="21"/>
          <w:szCs w:val="21"/>
          <w:highlight w:val="none"/>
        </w:rPr>
        <w:t>3.如果本联合体成交，（甲公司全称）负责本项目___________部分，（乙公司全称）负责本项目___________部分。</w:t>
      </w:r>
    </w:p>
    <w:p>
      <w:pPr>
        <w:autoSpaceDE/>
        <w:autoSpaceDN/>
        <w:spacing w:line="320" w:lineRule="exact"/>
        <w:ind w:firstLine="480"/>
        <w:rPr>
          <w:color w:val="auto"/>
          <w:sz w:val="21"/>
          <w:szCs w:val="21"/>
          <w:highlight w:val="none"/>
        </w:rPr>
      </w:pPr>
      <w:r>
        <w:rPr>
          <w:color w:val="auto"/>
          <w:sz w:val="21"/>
          <w:szCs w:val="21"/>
          <w:highlight w:val="none"/>
        </w:rPr>
        <w:t>4.如成交，联合体各方共同与（采购人）签订合同书，并就成交项目向采购人负责有连带的和各自的法律责任；</w:t>
      </w:r>
    </w:p>
    <w:p>
      <w:pPr>
        <w:autoSpaceDE/>
        <w:autoSpaceDN/>
        <w:spacing w:line="320" w:lineRule="exact"/>
        <w:ind w:firstLine="480"/>
        <w:rPr>
          <w:color w:val="auto"/>
          <w:sz w:val="21"/>
          <w:szCs w:val="21"/>
          <w:highlight w:val="none"/>
        </w:rPr>
      </w:pPr>
      <w:r>
        <w:rPr>
          <w:color w:val="auto"/>
          <w:sz w:val="21"/>
          <w:szCs w:val="21"/>
          <w:highlight w:val="none"/>
        </w:rPr>
        <w:t>5.联合体成员（公司全称）为（请填写：小型、微型）企业，将承担合同总金额____%的工作内容（联合体成员中有小型、微型企业时适用）。</w:t>
      </w:r>
    </w:p>
    <w:p>
      <w:pPr>
        <w:autoSpaceDE/>
        <w:autoSpaceDN/>
        <w:spacing w:line="320" w:lineRule="exact"/>
        <w:ind w:firstLine="480"/>
        <w:rPr>
          <w:color w:val="auto"/>
          <w:sz w:val="21"/>
          <w:szCs w:val="21"/>
          <w:highlight w:val="none"/>
        </w:rPr>
      </w:pPr>
      <w:r>
        <w:rPr>
          <w:color w:val="auto"/>
          <w:sz w:val="21"/>
          <w:szCs w:val="21"/>
          <w:highlight w:val="none"/>
        </w:rPr>
        <w:t>三、联合体各方不得再以自己名义参与本采购包响应，联合体各方不能作为其它联合体或单独响应单位的项目组成员参加本采购包响应。因发生上述问题导致联合体响应成为无效报价，联合体的其他成员可追究其违约责任和经济损失。</w:t>
      </w:r>
    </w:p>
    <w:p>
      <w:pPr>
        <w:autoSpaceDE/>
        <w:autoSpaceDN/>
        <w:spacing w:line="320" w:lineRule="exact"/>
        <w:ind w:firstLine="480"/>
        <w:rPr>
          <w:color w:val="auto"/>
          <w:sz w:val="21"/>
          <w:szCs w:val="21"/>
          <w:highlight w:val="none"/>
        </w:rPr>
      </w:pPr>
      <w:r>
        <w:rPr>
          <w:color w:val="auto"/>
          <w:sz w:val="21"/>
          <w:szCs w:val="21"/>
          <w:highlight w:val="none"/>
        </w:rPr>
        <w:t>四、联合体如因违约过失责任而导致采购人经济损失或被索赔时，本联合体任何一方均同意无条件优先清偿采购人的一切债务和经济赔偿。</w:t>
      </w:r>
    </w:p>
    <w:p>
      <w:pPr>
        <w:autoSpaceDE/>
        <w:autoSpaceDN/>
        <w:spacing w:line="320" w:lineRule="exact"/>
        <w:ind w:firstLine="480"/>
        <w:rPr>
          <w:color w:val="auto"/>
          <w:sz w:val="21"/>
          <w:szCs w:val="21"/>
          <w:highlight w:val="none"/>
        </w:rPr>
      </w:pPr>
      <w:r>
        <w:rPr>
          <w:color w:val="auto"/>
          <w:sz w:val="21"/>
          <w:szCs w:val="21"/>
          <w:highlight w:val="none"/>
        </w:rPr>
        <w:t>五、本协议在自签署之日起生效，有效期内有效，如获成交资格，合同有效期延续至合同履行完毕之日。</w:t>
      </w:r>
    </w:p>
    <w:p>
      <w:pPr>
        <w:autoSpaceDE/>
        <w:autoSpaceDN/>
        <w:spacing w:line="320" w:lineRule="exact"/>
        <w:ind w:firstLine="480"/>
        <w:rPr>
          <w:color w:val="auto"/>
          <w:sz w:val="21"/>
          <w:szCs w:val="21"/>
          <w:highlight w:val="none"/>
        </w:rPr>
      </w:pPr>
      <w:r>
        <w:rPr>
          <w:color w:val="auto"/>
          <w:sz w:val="21"/>
          <w:szCs w:val="21"/>
          <w:highlight w:val="none"/>
        </w:rPr>
        <w:t>六、本协议书正本一式____份，随响应文件装订____份，送采购人____份，联合体成员各一份；副本一式____份，联合体成员各执____份。</w:t>
      </w:r>
    </w:p>
    <w:p>
      <w:pPr>
        <w:autoSpaceDE/>
        <w:autoSpaceDN/>
        <w:spacing w:line="320" w:lineRule="exact"/>
        <w:jc w:val="right"/>
        <w:rPr>
          <w:color w:val="auto"/>
          <w:sz w:val="21"/>
          <w:szCs w:val="21"/>
          <w:highlight w:val="none"/>
        </w:rPr>
      </w:pPr>
      <w:r>
        <w:rPr>
          <w:color w:val="auto"/>
          <w:sz w:val="21"/>
          <w:szCs w:val="21"/>
          <w:highlight w:val="none"/>
        </w:rPr>
        <w:t>甲公司全称：____（盖章）________，乙公司全称：____（盖章）________，……公司全称：____（盖章）________，</w:t>
      </w:r>
    </w:p>
    <w:p>
      <w:pPr>
        <w:autoSpaceDE/>
        <w:autoSpaceDN/>
        <w:spacing w:line="320" w:lineRule="exact"/>
        <w:jc w:val="right"/>
        <w:rPr>
          <w:color w:val="auto"/>
          <w:sz w:val="21"/>
          <w:szCs w:val="21"/>
          <w:highlight w:val="none"/>
        </w:rPr>
      </w:pPr>
      <w:r>
        <w:rPr>
          <w:color w:val="auto"/>
          <w:sz w:val="21"/>
          <w:szCs w:val="21"/>
          <w:highlight w:val="none"/>
        </w:rPr>
        <w:t>____年____月 ____日，____年____月____日，____年____月____日</w:t>
      </w:r>
    </w:p>
    <w:p>
      <w:pPr>
        <w:autoSpaceDE/>
        <w:autoSpaceDN/>
        <w:spacing w:line="320" w:lineRule="exact"/>
        <w:ind w:firstLine="480"/>
        <w:rPr>
          <w:color w:val="auto"/>
          <w:sz w:val="21"/>
          <w:szCs w:val="21"/>
          <w:highlight w:val="none"/>
        </w:rPr>
      </w:pPr>
      <w:r>
        <w:rPr>
          <w:color w:val="auto"/>
          <w:sz w:val="21"/>
          <w:szCs w:val="21"/>
          <w:highlight w:val="none"/>
        </w:rPr>
        <w:t>注：1．联合响应时需签本协议，联合体各方成员应在本协议上共同盖章确认。</w:t>
      </w:r>
    </w:p>
    <w:p>
      <w:pPr>
        <w:autoSpaceDE/>
        <w:autoSpaceDN/>
        <w:spacing w:line="320" w:lineRule="exact"/>
        <w:ind w:firstLine="480"/>
        <w:rPr>
          <w:color w:val="auto"/>
          <w:sz w:val="21"/>
          <w:szCs w:val="21"/>
          <w:highlight w:val="none"/>
        </w:rPr>
      </w:pPr>
      <w:r>
        <w:rPr>
          <w:color w:val="auto"/>
          <w:sz w:val="21"/>
          <w:szCs w:val="21"/>
          <w:highlight w:val="none"/>
        </w:rPr>
        <w:t>2．本协议内容不得擅自修改。此协议将作为签订合同的附件之一。</w:t>
      </w:r>
    </w:p>
    <w:p>
      <w:pPr>
        <w:pStyle w:val="4"/>
        <w:pageBreakBefore/>
        <w:numPr>
          <w:ilvl w:val="0"/>
          <w:numId w:val="28"/>
        </w:numPr>
        <w:spacing w:line="360" w:lineRule="auto"/>
        <w:jc w:val="center"/>
        <w:rPr>
          <w:rFonts w:hAnsi="宋体"/>
          <w:b/>
          <w:color w:val="auto"/>
          <w:highlight w:val="none"/>
        </w:rPr>
      </w:pPr>
      <w:bookmarkStart w:id="124" w:name="_Hlt10519541"/>
      <w:bookmarkEnd w:id="124"/>
      <w:bookmarkStart w:id="125" w:name="_Toc3238"/>
      <w:r>
        <w:rPr>
          <w:rFonts w:hint="eastAsia" w:hAnsi="宋体"/>
          <w:b/>
          <w:color w:val="auto"/>
          <w:highlight w:val="none"/>
        </w:rPr>
        <w:t>供应商业绩情况表</w:t>
      </w:r>
      <w:bookmarkEnd w:id="125"/>
    </w:p>
    <w:p>
      <w:pPr>
        <w:spacing w:line="360" w:lineRule="auto"/>
        <w:rPr>
          <w:rFonts w:hAnsi="宋体"/>
          <w:b/>
          <w:color w:val="auto"/>
          <w:highlight w:val="none"/>
        </w:rPr>
      </w:pPr>
    </w:p>
    <w:tbl>
      <w:tblPr>
        <w:tblStyle w:val="48"/>
        <w:tblW w:w="5000" w:type="pct"/>
        <w:tblInd w:w="-5" w:type="dxa"/>
        <w:tblLayout w:type="autofit"/>
        <w:tblCellMar>
          <w:top w:w="0" w:type="dxa"/>
          <w:left w:w="0" w:type="dxa"/>
          <w:bottom w:w="0" w:type="dxa"/>
          <w:right w:w="0" w:type="dxa"/>
        </w:tblCellMar>
      </w:tblPr>
      <w:tblGrid>
        <w:gridCol w:w="542"/>
        <w:gridCol w:w="969"/>
        <w:gridCol w:w="2890"/>
        <w:gridCol w:w="1401"/>
        <w:gridCol w:w="1827"/>
        <w:gridCol w:w="1408"/>
      </w:tblGrid>
      <w:tr>
        <w:tblPrEx>
          <w:tblCellMar>
            <w:top w:w="0" w:type="dxa"/>
            <w:left w:w="0" w:type="dxa"/>
            <w:bottom w:w="0" w:type="dxa"/>
            <w:right w:w="0" w:type="dxa"/>
          </w:tblCellMar>
        </w:tblPrEx>
        <w:trPr>
          <w:trHeight w:val="649" w:hRule="exact"/>
        </w:trPr>
        <w:tc>
          <w:tcPr>
            <w:tcW w:w="300" w:type="pct"/>
            <w:tcBorders>
              <w:top w:val="single" w:color="000000" w:sz="4" w:space="0"/>
              <w:left w:val="single" w:color="000000" w:sz="4" w:space="0"/>
              <w:bottom w:val="single" w:color="000000" w:sz="4" w:space="0"/>
              <w:right w:val="single" w:color="000000" w:sz="4" w:space="0"/>
            </w:tcBorders>
            <w:shd w:val="clear" w:color="auto" w:fill="F4F4F4"/>
          </w:tcPr>
          <w:p>
            <w:pPr>
              <w:autoSpaceDE/>
              <w:autoSpaceDN/>
              <w:adjustRightInd/>
              <w:spacing w:line="360" w:lineRule="exact"/>
              <w:jc w:val="center"/>
              <w:rPr>
                <w:rFonts w:hAnsi="宋体" w:cs="宋体"/>
                <w:b/>
                <w:color w:val="auto"/>
                <w:sz w:val="21"/>
                <w:szCs w:val="21"/>
                <w:highlight w:val="none"/>
              </w:rPr>
            </w:pPr>
            <w:r>
              <w:rPr>
                <w:rFonts w:hint="eastAsia" w:hAnsi="宋体" w:cs="宋体"/>
                <w:b/>
                <w:color w:val="auto"/>
                <w:sz w:val="21"/>
                <w:szCs w:val="21"/>
                <w:highlight w:val="none"/>
              </w:rPr>
              <w:t>序号</w:t>
            </w:r>
          </w:p>
        </w:tc>
        <w:tc>
          <w:tcPr>
            <w:tcW w:w="536" w:type="pct"/>
            <w:tcBorders>
              <w:top w:val="single" w:color="000000" w:sz="4" w:space="0"/>
              <w:left w:val="single" w:color="000000" w:sz="4" w:space="0"/>
              <w:bottom w:val="single" w:color="000000" w:sz="4" w:space="0"/>
              <w:right w:val="single" w:color="000000" w:sz="4" w:space="0"/>
            </w:tcBorders>
            <w:shd w:val="clear" w:color="auto" w:fill="F4F4F4"/>
          </w:tcPr>
          <w:p>
            <w:pPr>
              <w:autoSpaceDE/>
              <w:autoSpaceDN/>
              <w:adjustRightInd/>
              <w:spacing w:line="360" w:lineRule="exact"/>
              <w:jc w:val="center"/>
              <w:rPr>
                <w:rFonts w:hAnsi="宋体" w:cs="宋体"/>
                <w:b/>
                <w:color w:val="auto"/>
                <w:sz w:val="21"/>
                <w:szCs w:val="21"/>
                <w:highlight w:val="none"/>
              </w:rPr>
            </w:pPr>
            <w:r>
              <w:rPr>
                <w:rFonts w:hint="eastAsia" w:hAnsi="宋体" w:cs="宋体"/>
                <w:b/>
                <w:color w:val="auto"/>
                <w:sz w:val="21"/>
                <w:szCs w:val="21"/>
                <w:highlight w:val="none"/>
              </w:rPr>
              <w:t>客户名称</w:t>
            </w:r>
          </w:p>
        </w:tc>
        <w:tc>
          <w:tcPr>
            <w:tcW w:w="1599" w:type="pct"/>
            <w:tcBorders>
              <w:top w:val="single" w:color="000000" w:sz="4" w:space="0"/>
              <w:left w:val="single" w:color="000000" w:sz="4" w:space="0"/>
              <w:bottom w:val="single" w:color="000000" w:sz="4" w:space="0"/>
              <w:right w:val="single" w:color="000000" w:sz="4" w:space="0"/>
            </w:tcBorders>
            <w:shd w:val="clear" w:color="auto" w:fill="F4F4F4"/>
          </w:tcPr>
          <w:p>
            <w:pPr>
              <w:autoSpaceDE/>
              <w:autoSpaceDN/>
              <w:adjustRightInd/>
              <w:spacing w:line="360" w:lineRule="exact"/>
              <w:jc w:val="center"/>
              <w:rPr>
                <w:rFonts w:hAnsi="宋体" w:cs="宋体"/>
                <w:b/>
                <w:color w:val="auto"/>
                <w:sz w:val="21"/>
                <w:szCs w:val="21"/>
                <w:highlight w:val="none"/>
              </w:rPr>
            </w:pPr>
            <w:r>
              <w:rPr>
                <w:rFonts w:hint="eastAsia" w:hAnsi="宋体" w:cs="宋体"/>
                <w:b/>
                <w:color w:val="auto"/>
                <w:sz w:val="21"/>
                <w:szCs w:val="21"/>
                <w:highlight w:val="none"/>
              </w:rPr>
              <w:t>项目名称及合同金额（万元）</w:t>
            </w:r>
          </w:p>
        </w:tc>
        <w:tc>
          <w:tcPr>
            <w:tcW w:w="775" w:type="pct"/>
            <w:tcBorders>
              <w:top w:val="single" w:color="000000" w:sz="4" w:space="0"/>
              <w:left w:val="single" w:color="000000" w:sz="4" w:space="0"/>
              <w:bottom w:val="single" w:color="000000" w:sz="4" w:space="0"/>
              <w:right w:val="single" w:color="000000" w:sz="4" w:space="0"/>
            </w:tcBorders>
            <w:shd w:val="clear" w:color="auto" w:fill="F4F4F4"/>
          </w:tcPr>
          <w:p>
            <w:pPr>
              <w:autoSpaceDE/>
              <w:autoSpaceDN/>
              <w:adjustRightInd/>
              <w:spacing w:line="360" w:lineRule="exact"/>
              <w:jc w:val="center"/>
              <w:rPr>
                <w:rFonts w:hAnsi="宋体" w:cs="宋体"/>
                <w:b/>
                <w:color w:val="auto"/>
                <w:sz w:val="21"/>
                <w:szCs w:val="21"/>
                <w:highlight w:val="none"/>
              </w:rPr>
            </w:pPr>
            <w:r>
              <w:rPr>
                <w:rFonts w:hint="eastAsia" w:hAnsi="宋体" w:cs="宋体"/>
                <w:b/>
                <w:color w:val="auto"/>
                <w:sz w:val="21"/>
                <w:szCs w:val="21"/>
                <w:highlight w:val="none"/>
              </w:rPr>
              <w:t>签订合同时间</w:t>
            </w:r>
          </w:p>
        </w:tc>
        <w:tc>
          <w:tcPr>
            <w:tcW w:w="1011" w:type="pct"/>
            <w:tcBorders>
              <w:top w:val="single" w:color="000000" w:sz="4" w:space="0"/>
              <w:left w:val="single" w:color="000000" w:sz="4" w:space="0"/>
              <w:bottom w:val="single" w:color="000000" w:sz="4" w:space="0"/>
              <w:right w:val="single" w:color="000000" w:sz="4" w:space="0"/>
            </w:tcBorders>
            <w:shd w:val="clear" w:color="auto" w:fill="F4F4F4"/>
          </w:tcPr>
          <w:p>
            <w:pPr>
              <w:autoSpaceDE/>
              <w:autoSpaceDN/>
              <w:adjustRightInd/>
              <w:spacing w:line="360" w:lineRule="exact"/>
              <w:jc w:val="center"/>
              <w:rPr>
                <w:rFonts w:hAnsi="宋体" w:cs="宋体"/>
                <w:b/>
                <w:color w:val="auto"/>
                <w:sz w:val="21"/>
                <w:szCs w:val="21"/>
                <w:highlight w:val="none"/>
              </w:rPr>
            </w:pPr>
            <w:r>
              <w:rPr>
                <w:rFonts w:hint="eastAsia" w:hAnsi="宋体" w:cs="宋体"/>
                <w:b/>
                <w:color w:val="auto"/>
                <w:sz w:val="21"/>
                <w:szCs w:val="21"/>
                <w:highlight w:val="none"/>
              </w:rPr>
              <w:t>竣工验收报告时间</w:t>
            </w:r>
          </w:p>
        </w:tc>
        <w:tc>
          <w:tcPr>
            <w:tcW w:w="779" w:type="pct"/>
            <w:tcBorders>
              <w:top w:val="single" w:color="000000" w:sz="4" w:space="0"/>
              <w:left w:val="single" w:color="000000" w:sz="4" w:space="0"/>
              <w:bottom w:val="single" w:color="000000" w:sz="4" w:space="0"/>
              <w:right w:val="single" w:color="000000" w:sz="4" w:space="0"/>
            </w:tcBorders>
            <w:shd w:val="clear" w:color="auto" w:fill="F4F4F4"/>
          </w:tcPr>
          <w:p>
            <w:pPr>
              <w:autoSpaceDE/>
              <w:autoSpaceDN/>
              <w:adjustRightInd/>
              <w:spacing w:line="360" w:lineRule="exact"/>
              <w:jc w:val="center"/>
              <w:rPr>
                <w:rFonts w:hAnsi="宋体" w:cs="宋体"/>
                <w:b/>
                <w:color w:val="auto"/>
                <w:sz w:val="21"/>
                <w:szCs w:val="21"/>
                <w:highlight w:val="none"/>
              </w:rPr>
            </w:pPr>
            <w:r>
              <w:rPr>
                <w:rFonts w:hint="eastAsia" w:hAnsi="宋体" w:cs="宋体"/>
                <w:b/>
                <w:color w:val="auto"/>
                <w:sz w:val="21"/>
                <w:szCs w:val="21"/>
                <w:highlight w:val="none"/>
              </w:rPr>
              <w:t>联系人及电话</w:t>
            </w:r>
          </w:p>
        </w:tc>
      </w:tr>
      <w:tr>
        <w:tblPrEx>
          <w:tblCellMar>
            <w:top w:w="0" w:type="dxa"/>
            <w:left w:w="0" w:type="dxa"/>
            <w:bottom w:w="0" w:type="dxa"/>
            <w:right w:w="0" w:type="dxa"/>
          </w:tblCellMar>
        </w:tblPrEx>
        <w:trPr>
          <w:trHeight w:val="396" w:hRule="exact"/>
        </w:trPr>
        <w:tc>
          <w:tcPr>
            <w:tcW w:w="300"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r>
              <w:rPr>
                <w:rFonts w:hAnsi="宋体" w:cs="宋体"/>
                <w:color w:val="auto"/>
                <w:kern w:val="2"/>
                <w:sz w:val="21"/>
                <w:szCs w:val="21"/>
                <w:highlight w:val="none"/>
              </w:rPr>
              <w:t>1</w:t>
            </w:r>
          </w:p>
        </w:tc>
        <w:tc>
          <w:tcPr>
            <w:tcW w:w="536"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1599"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775"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1011"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779"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r>
      <w:tr>
        <w:tblPrEx>
          <w:tblCellMar>
            <w:top w:w="0" w:type="dxa"/>
            <w:left w:w="0" w:type="dxa"/>
            <w:bottom w:w="0" w:type="dxa"/>
            <w:right w:w="0" w:type="dxa"/>
          </w:tblCellMar>
        </w:tblPrEx>
        <w:trPr>
          <w:trHeight w:val="396" w:hRule="exact"/>
        </w:trPr>
        <w:tc>
          <w:tcPr>
            <w:tcW w:w="300"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r>
              <w:rPr>
                <w:rFonts w:hAnsi="宋体" w:cs="宋体"/>
                <w:color w:val="auto"/>
                <w:kern w:val="2"/>
                <w:sz w:val="21"/>
                <w:szCs w:val="21"/>
                <w:highlight w:val="none"/>
              </w:rPr>
              <w:t>2</w:t>
            </w:r>
          </w:p>
        </w:tc>
        <w:tc>
          <w:tcPr>
            <w:tcW w:w="536"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1599"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775"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1011"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779"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r>
      <w:tr>
        <w:tblPrEx>
          <w:tblCellMar>
            <w:top w:w="0" w:type="dxa"/>
            <w:left w:w="0" w:type="dxa"/>
            <w:bottom w:w="0" w:type="dxa"/>
            <w:right w:w="0" w:type="dxa"/>
          </w:tblCellMar>
        </w:tblPrEx>
        <w:trPr>
          <w:trHeight w:val="396" w:hRule="exact"/>
        </w:trPr>
        <w:tc>
          <w:tcPr>
            <w:tcW w:w="300"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r>
              <w:rPr>
                <w:rFonts w:hAnsi="宋体" w:cs="宋体"/>
                <w:color w:val="auto"/>
                <w:kern w:val="2"/>
                <w:sz w:val="21"/>
                <w:szCs w:val="21"/>
                <w:highlight w:val="none"/>
              </w:rPr>
              <w:t>3</w:t>
            </w:r>
          </w:p>
        </w:tc>
        <w:tc>
          <w:tcPr>
            <w:tcW w:w="536"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1599"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775"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1011"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779"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r>
      <w:tr>
        <w:tblPrEx>
          <w:tblCellMar>
            <w:top w:w="0" w:type="dxa"/>
            <w:left w:w="0" w:type="dxa"/>
            <w:bottom w:w="0" w:type="dxa"/>
            <w:right w:w="0" w:type="dxa"/>
          </w:tblCellMar>
        </w:tblPrEx>
        <w:trPr>
          <w:trHeight w:val="396" w:hRule="exact"/>
        </w:trPr>
        <w:tc>
          <w:tcPr>
            <w:tcW w:w="300"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r>
              <w:rPr>
                <w:rFonts w:hAnsi="宋体" w:cs="宋体"/>
                <w:color w:val="auto"/>
                <w:kern w:val="2"/>
                <w:sz w:val="21"/>
                <w:szCs w:val="21"/>
                <w:highlight w:val="none"/>
              </w:rPr>
              <w:t>4</w:t>
            </w:r>
          </w:p>
        </w:tc>
        <w:tc>
          <w:tcPr>
            <w:tcW w:w="536"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1599"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775"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1011"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779"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r>
      <w:tr>
        <w:tblPrEx>
          <w:tblCellMar>
            <w:top w:w="0" w:type="dxa"/>
            <w:left w:w="0" w:type="dxa"/>
            <w:bottom w:w="0" w:type="dxa"/>
            <w:right w:w="0" w:type="dxa"/>
          </w:tblCellMar>
        </w:tblPrEx>
        <w:trPr>
          <w:trHeight w:val="396" w:hRule="exact"/>
        </w:trPr>
        <w:tc>
          <w:tcPr>
            <w:tcW w:w="300"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w:t>
            </w:r>
          </w:p>
        </w:tc>
        <w:tc>
          <w:tcPr>
            <w:tcW w:w="536"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1599"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775"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1011"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779"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r>
    </w:tbl>
    <w:p>
      <w:pPr>
        <w:spacing w:line="360" w:lineRule="auto"/>
        <w:rPr>
          <w:rFonts w:hAnsi="宋体"/>
          <w:b/>
          <w:color w:val="auto"/>
          <w:highlight w:val="none"/>
        </w:rPr>
      </w:pPr>
    </w:p>
    <w:p>
      <w:pPr>
        <w:spacing w:before="120" w:line="360" w:lineRule="auto"/>
        <w:ind w:left="510" w:hanging="510"/>
        <w:rPr>
          <w:rFonts w:hAnsi="宋体"/>
          <w:color w:val="auto"/>
          <w:sz w:val="21"/>
          <w:szCs w:val="21"/>
          <w:highlight w:val="none"/>
        </w:rPr>
      </w:pPr>
      <w:r>
        <w:rPr>
          <w:rFonts w:hint="eastAsia" w:hAnsi="宋体"/>
          <w:color w:val="auto"/>
          <w:sz w:val="21"/>
          <w:szCs w:val="21"/>
          <w:highlight w:val="none"/>
        </w:rPr>
        <w:t>注：根据评分标准要求提供相应材料。</w:t>
      </w:r>
    </w:p>
    <w:p>
      <w:pPr>
        <w:snapToGrid w:val="0"/>
        <w:spacing w:line="360" w:lineRule="auto"/>
        <w:rPr>
          <w:rFonts w:hAnsi="宋体"/>
          <w:color w:val="auto"/>
          <w:sz w:val="21"/>
          <w:szCs w:val="21"/>
          <w:highlight w:val="none"/>
        </w:rPr>
      </w:pPr>
    </w:p>
    <w:p>
      <w:pPr>
        <w:snapToGrid w:val="0"/>
        <w:spacing w:line="360" w:lineRule="auto"/>
        <w:rPr>
          <w:rFonts w:hAnsi="宋体"/>
          <w:color w:val="auto"/>
          <w:sz w:val="21"/>
          <w:szCs w:val="21"/>
          <w:highlight w:val="none"/>
        </w:rPr>
      </w:pPr>
    </w:p>
    <w:p>
      <w:pPr>
        <w:snapToGrid w:val="0"/>
        <w:spacing w:line="360" w:lineRule="auto"/>
        <w:rPr>
          <w:rFonts w:hAnsi="宋体"/>
          <w:color w:val="auto"/>
          <w:sz w:val="21"/>
          <w:szCs w:val="21"/>
          <w:highlight w:val="none"/>
          <w:u w:val="single"/>
        </w:rPr>
      </w:pPr>
      <w:r>
        <w:rPr>
          <w:rFonts w:hint="eastAsia" w:hAnsi="宋体"/>
          <w:color w:val="auto"/>
          <w:sz w:val="21"/>
          <w:szCs w:val="21"/>
          <w:highlight w:val="none"/>
        </w:rPr>
        <w:t>供应商名称（加盖公章）：</w:t>
      </w:r>
    </w:p>
    <w:p>
      <w:pPr>
        <w:snapToGrid w:val="0"/>
        <w:spacing w:line="360" w:lineRule="auto"/>
        <w:rPr>
          <w:rFonts w:hAnsi="宋体"/>
          <w:color w:val="auto"/>
          <w:sz w:val="21"/>
          <w:szCs w:val="21"/>
          <w:highlight w:val="none"/>
        </w:rPr>
      </w:pPr>
      <w:r>
        <w:rPr>
          <w:rFonts w:hint="eastAsia" w:hAnsi="宋体"/>
          <w:color w:val="auto"/>
          <w:sz w:val="21"/>
          <w:szCs w:val="21"/>
          <w:highlight w:val="none"/>
        </w:rPr>
        <w:t xml:space="preserve">日期： </w:t>
      </w:r>
    </w:p>
    <w:p>
      <w:pPr>
        <w:spacing w:line="360" w:lineRule="auto"/>
        <w:jc w:val="center"/>
        <w:rPr>
          <w:rFonts w:hAnsi="宋体"/>
          <w:b/>
          <w:color w:val="auto"/>
          <w:sz w:val="28"/>
          <w:highlight w:val="none"/>
        </w:rPr>
      </w:pPr>
    </w:p>
    <w:p>
      <w:pPr>
        <w:pStyle w:val="4"/>
        <w:pageBreakBefore/>
        <w:numPr>
          <w:ilvl w:val="0"/>
          <w:numId w:val="28"/>
        </w:numPr>
        <w:spacing w:line="360" w:lineRule="auto"/>
        <w:jc w:val="center"/>
        <w:rPr>
          <w:rFonts w:hAnsi="宋体"/>
          <w:b/>
          <w:color w:val="auto"/>
          <w:highlight w:val="none"/>
        </w:rPr>
      </w:pPr>
      <w:bookmarkStart w:id="126" w:name="_Toc25903"/>
      <w:r>
        <w:rPr>
          <w:rFonts w:hint="eastAsia" w:hAnsi="宋体"/>
          <w:b/>
          <w:color w:val="auto"/>
          <w:highlight w:val="none"/>
        </w:rPr>
        <w:t>技术和服务要求响应表</w:t>
      </w:r>
      <w:bookmarkEnd w:id="126"/>
    </w:p>
    <w:p>
      <w:pPr>
        <w:spacing w:line="360" w:lineRule="auto"/>
        <w:rPr>
          <w:rFonts w:hAnsi="宋体"/>
          <w:color w:val="auto"/>
          <w:sz w:val="21"/>
          <w:szCs w:val="21"/>
          <w:highlight w:val="none"/>
        </w:rPr>
      </w:pPr>
    </w:p>
    <w:tbl>
      <w:tblPr>
        <w:tblStyle w:val="48"/>
        <w:tblW w:w="0" w:type="auto"/>
        <w:tblInd w:w="-5" w:type="dxa"/>
        <w:tblLayout w:type="fixed"/>
        <w:tblCellMar>
          <w:top w:w="0" w:type="dxa"/>
          <w:left w:w="0" w:type="dxa"/>
          <w:bottom w:w="0" w:type="dxa"/>
          <w:right w:w="0" w:type="dxa"/>
        </w:tblCellMar>
      </w:tblPr>
      <w:tblGrid>
        <w:gridCol w:w="388"/>
        <w:gridCol w:w="893"/>
        <w:gridCol w:w="851"/>
        <w:gridCol w:w="2107"/>
        <w:gridCol w:w="1900"/>
        <w:gridCol w:w="529"/>
        <w:gridCol w:w="584"/>
        <w:gridCol w:w="1396"/>
        <w:gridCol w:w="389"/>
      </w:tblGrid>
      <w:tr>
        <w:tblPrEx>
          <w:tblCellMar>
            <w:top w:w="0" w:type="dxa"/>
            <w:left w:w="0" w:type="dxa"/>
            <w:bottom w:w="0" w:type="dxa"/>
            <w:right w:w="0" w:type="dxa"/>
          </w:tblCellMar>
        </w:tblPrEx>
        <w:trPr>
          <w:trHeight w:val="780" w:hRule="exact"/>
        </w:trPr>
        <w:tc>
          <w:tcPr>
            <w:tcW w:w="388" w:type="dxa"/>
            <w:tcBorders>
              <w:top w:val="single" w:color="000000" w:sz="4" w:space="0"/>
              <w:left w:val="single" w:color="000000" w:sz="4" w:space="0"/>
              <w:bottom w:val="single" w:color="000000" w:sz="4" w:space="0"/>
              <w:right w:val="single" w:color="000000" w:sz="4" w:space="0"/>
            </w:tcBorders>
            <w:shd w:val="clear" w:color="auto" w:fill="F4F4F4"/>
            <w:vAlign w:val="center"/>
          </w:tcPr>
          <w:p>
            <w:pPr>
              <w:autoSpaceDE/>
              <w:autoSpaceDN/>
              <w:adjustRightInd/>
              <w:spacing w:line="360" w:lineRule="exact"/>
              <w:jc w:val="center"/>
              <w:rPr>
                <w:rFonts w:hAnsi="宋体" w:cs="宋体"/>
                <w:b/>
                <w:color w:val="auto"/>
                <w:sz w:val="21"/>
                <w:szCs w:val="21"/>
                <w:highlight w:val="none"/>
              </w:rPr>
            </w:pPr>
            <w:r>
              <w:rPr>
                <w:rFonts w:hint="eastAsia" w:hAnsi="宋体" w:cs="宋体"/>
                <w:b/>
                <w:color w:val="auto"/>
                <w:sz w:val="21"/>
                <w:szCs w:val="21"/>
                <w:highlight w:val="none"/>
              </w:rPr>
              <w:t>序号</w:t>
            </w:r>
          </w:p>
        </w:tc>
        <w:tc>
          <w:tcPr>
            <w:tcW w:w="893" w:type="dxa"/>
            <w:tcBorders>
              <w:top w:val="single" w:color="000000" w:sz="4" w:space="0"/>
              <w:left w:val="single" w:color="000000" w:sz="4" w:space="0"/>
              <w:bottom w:val="single" w:color="000000" w:sz="4" w:space="0"/>
              <w:right w:val="single" w:color="000000" w:sz="4" w:space="0"/>
            </w:tcBorders>
            <w:shd w:val="clear" w:color="auto" w:fill="F4F4F4"/>
            <w:vAlign w:val="center"/>
          </w:tcPr>
          <w:p>
            <w:pPr>
              <w:autoSpaceDE/>
              <w:autoSpaceDN/>
              <w:adjustRightInd/>
              <w:spacing w:line="360" w:lineRule="exact"/>
              <w:jc w:val="center"/>
              <w:rPr>
                <w:rFonts w:hAnsi="宋体" w:cs="宋体"/>
                <w:b/>
                <w:color w:val="auto"/>
                <w:sz w:val="21"/>
                <w:szCs w:val="21"/>
                <w:highlight w:val="none"/>
              </w:rPr>
            </w:pPr>
            <w:r>
              <w:rPr>
                <w:rFonts w:hint="eastAsia" w:hAnsi="宋体" w:cs="宋体"/>
                <w:b/>
                <w:color w:val="auto"/>
                <w:sz w:val="21"/>
                <w:szCs w:val="21"/>
                <w:highlight w:val="none"/>
              </w:rPr>
              <w:t>标的名称</w:t>
            </w:r>
          </w:p>
        </w:tc>
        <w:tc>
          <w:tcPr>
            <w:tcW w:w="851" w:type="dxa"/>
            <w:tcBorders>
              <w:top w:val="single" w:color="000000" w:sz="4" w:space="0"/>
              <w:left w:val="single" w:color="000000" w:sz="4" w:space="0"/>
              <w:bottom w:val="single" w:color="000000" w:sz="4" w:space="0"/>
              <w:right w:val="single" w:color="000000" w:sz="4" w:space="0"/>
            </w:tcBorders>
            <w:shd w:val="clear" w:color="auto" w:fill="F4F4F4"/>
            <w:vAlign w:val="center"/>
          </w:tcPr>
          <w:p>
            <w:pPr>
              <w:autoSpaceDE/>
              <w:autoSpaceDN/>
              <w:adjustRightInd/>
              <w:spacing w:line="360" w:lineRule="exact"/>
              <w:jc w:val="center"/>
              <w:rPr>
                <w:rFonts w:hAnsi="宋体" w:cs="宋体"/>
                <w:b/>
                <w:color w:val="auto"/>
                <w:sz w:val="21"/>
                <w:szCs w:val="21"/>
                <w:highlight w:val="none"/>
              </w:rPr>
            </w:pPr>
            <w:r>
              <w:rPr>
                <w:rFonts w:hint="eastAsia" w:hAnsi="宋体" w:cs="宋体"/>
                <w:b/>
                <w:color w:val="auto"/>
                <w:sz w:val="21"/>
                <w:szCs w:val="21"/>
                <w:highlight w:val="none"/>
              </w:rPr>
              <w:t>参数性质</w:t>
            </w:r>
          </w:p>
        </w:tc>
        <w:tc>
          <w:tcPr>
            <w:tcW w:w="2107" w:type="dxa"/>
            <w:tcBorders>
              <w:top w:val="single" w:color="000000" w:sz="4" w:space="0"/>
              <w:left w:val="single" w:color="000000" w:sz="4" w:space="0"/>
              <w:bottom w:val="single" w:color="000000" w:sz="4" w:space="0"/>
              <w:right w:val="single" w:color="000000" w:sz="4" w:space="0"/>
            </w:tcBorders>
            <w:shd w:val="clear" w:color="auto" w:fill="F4F4F4"/>
            <w:vAlign w:val="center"/>
          </w:tcPr>
          <w:p>
            <w:pPr>
              <w:autoSpaceDE/>
              <w:autoSpaceDN/>
              <w:adjustRightInd/>
              <w:spacing w:line="360" w:lineRule="exact"/>
              <w:jc w:val="center"/>
              <w:rPr>
                <w:rFonts w:hAnsi="宋体" w:cs="宋体"/>
                <w:b/>
                <w:color w:val="auto"/>
                <w:sz w:val="21"/>
                <w:szCs w:val="21"/>
                <w:highlight w:val="none"/>
              </w:rPr>
            </w:pPr>
            <w:r>
              <w:rPr>
                <w:rFonts w:hint="eastAsia" w:hAnsi="宋体" w:cs="宋体"/>
                <w:b/>
                <w:color w:val="auto"/>
                <w:sz w:val="21"/>
                <w:szCs w:val="21"/>
                <w:highlight w:val="none"/>
              </w:rPr>
              <w:t>采购文件规定的技术和服务要求</w:t>
            </w:r>
          </w:p>
        </w:tc>
        <w:tc>
          <w:tcPr>
            <w:tcW w:w="1900" w:type="dxa"/>
            <w:tcBorders>
              <w:top w:val="single" w:color="000000" w:sz="4" w:space="0"/>
              <w:left w:val="single" w:color="000000" w:sz="4" w:space="0"/>
              <w:bottom w:val="single" w:color="000000" w:sz="4" w:space="0"/>
              <w:right w:val="single" w:color="000000" w:sz="4" w:space="0"/>
            </w:tcBorders>
            <w:shd w:val="clear" w:color="auto" w:fill="F4F4F4"/>
            <w:vAlign w:val="center"/>
          </w:tcPr>
          <w:p>
            <w:pPr>
              <w:autoSpaceDE/>
              <w:autoSpaceDN/>
              <w:adjustRightInd/>
              <w:spacing w:line="360" w:lineRule="exact"/>
              <w:jc w:val="center"/>
              <w:rPr>
                <w:rFonts w:hAnsi="宋体" w:cs="宋体"/>
                <w:b/>
                <w:color w:val="auto"/>
                <w:sz w:val="21"/>
                <w:szCs w:val="21"/>
                <w:highlight w:val="none"/>
              </w:rPr>
            </w:pPr>
            <w:r>
              <w:rPr>
                <w:rFonts w:hint="eastAsia" w:hAnsi="宋体" w:cs="宋体"/>
                <w:b/>
                <w:color w:val="auto"/>
                <w:sz w:val="21"/>
                <w:szCs w:val="21"/>
                <w:highlight w:val="none"/>
              </w:rPr>
              <w:t>响应文件响应的具体内容</w:t>
            </w:r>
          </w:p>
        </w:tc>
        <w:tc>
          <w:tcPr>
            <w:tcW w:w="529" w:type="dxa"/>
            <w:tcBorders>
              <w:top w:val="single" w:color="000000" w:sz="4" w:space="0"/>
              <w:left w:val="single" w:color="000000" w:sz="4" w:space="0"/>
              <w:bottom w:val="single" w:color="000000" w:sz="4" w:space="0"/>
              <w:right w:val="single" w:color="000000" w:sz="4" w:space="0"/>
            </w:tcBorders>
            <w:shd w:val="clear" w:color="auto" w:fill="F4F4F4"/>
            <w:vAlign w:val="center"/>
          </w:tcPr>
          <w:p>
            <w:pPr>
              <w:autoSpaceDE/>
              <w:autoSpaceDN/>
              <w:adjustRightInd/>
              <w:spacing w:line="360" w:lineRule="exact"/>
              <w:jc w:val="center"/>
              <w:rPr>
                <w:rFonts w:hAnsi="宋体" w:cs="宋体"/>
                <w:b/>
                <w:color w:val="auto"/>
                <w:sz w:val="21"/>
                <w:szCs w:val="21"/>
                <w:highlight w:val="none"/>
              </w:rPr>
            </w:pPr>
            <w:r>
              <w:rPr>
                <w:rFonts w:hint="eastAsia" w:hAnsi="宋体" w:cs="宋体"/>
                <w:b/>
                <w:color w:val="auto"/>
                <w:sz w:val="21"/>
                <w:szCs w:val="21"/>
                <w:highlight w:val="none"/>
              </w:rPr>
              <w:t>型号</w:t>
            </w:r>
          </w:p>
        </w:tc>
        <w:tc>
          <w:tcPr>
            <w:tcW w:w="584" w:type="dxa"/>
            <w:tcBorders>
              <w:top w:val="single" w:color="000000" w:sz="4" w:space="0"/>
              <w:left w:val="single" w:color="000000" w:sz="4" w:space="0"/>
              <w:bottom w:val="single" w:color="000000" w:sz="4" w:space="0"/>
              <w:right w:val="single" w:color="000000" w:sz="4" w:space="0"/>
            </w:tcBorders>
            <w:shd w:val="clear" w:color="auto" w:fill="F4F4F4"/>
            <w:vAlign w:val="center"/>
          </w:tcPr>
          <w:p>
            <w:pPr>
              <w:autoSpaceDE/>
              <w:autoSpaceDN/>
              <w:adjustRightInd/>
              <w:spacing w:line="360" w:lineRule="exact"/>
              <w:jc w:val="center"/>
              <w:rPr>
                <w:rFonts w:hAnsi="宋体" w:cs="宋体"/>
                <w:b/>
                <w:color w:val="auto"/>
                <w:sz w:val="21"/>
                <w:szCs w:val="21"/>
                <w:highlight w:val="none"/>
              </w:rPr>
            </w:pPr>
            <w:r>
              <w:rPr>
                <w:rFonts w:hint="eastAsia" w:hAnsi="宋体" w:cs="宋体"/>
                <w:b/>
                <w:color w:val="auto"/>
                <w:sz w:val="21"/>
                <w:szCs w:val="21"/>
                <w:highlight w:val="none"/>
              </w:rPr>
              <w:t>是否偏离</w:t>
            </w:r>
          </w:p>
        </w:tc>
        <w:tc>
          <w:tcPr>
            <w:tcW w:w="1396" w:type="dxa"/>
            <w:tcBorders>
              <w:top w:val="single" w:color="000000" w:sz="4" w:space="0"/>
              <w:left w:val="single" w:color="000000" w:sz="4" w:space="0"/>
              <w:bottom w:val="single" w:color="000000" w:sz="4" w:space="0"/>
              <w:right w:val="single" w:color="000000" w:sz="4" w:space="0"/>
            </w:tcBorders>
            <w:shd w:val="clear" w:color="auto" w:fill="F4F4F4"/>
            <w:vAlign w:val="center"/>
          </w:tcPr>
          <w:p>
            <w:pPr>
              <w:autoSpaceDE/>
              <w:autoSpaceDN/>
              <w:adjustRightInd/>
              <w:spacing w:line="360" w:lineRule="exact"/>
              <w:jc w:val="center"/>
              <w:rPr>
                <w:rFonts w:hAnsi="宋体" w:cs="宋体"/>
                <w:b/>
                <w:color w:val="auto"/>
                <w:sz w:val="21"/>
                <w:szCs w:val="21"/>
                <w:highlight w:val="none"/>
              </w:rPr>
            </w:pPr>
            <w:r>
              <w:rPr>
                <w:rFonts w:hint="eastAsia" w:hAnsi="宋体" w:cs="宋体"/>
                <w:b/>
                <w:color w:val="auto"/>
                <w:sz w:val="21"/>
                <w:szCs w:val="21"/>
                <w:highlight w:val="none"/>
              </w:rPr>
              <w:t>证明文件所在位置</w:t>
            </w:r>
          </w:p>
        </w:tc>
        <w:tc>
          <w:tcPr>
            <w:tcW w:w="389" w:type="dxa"/>
            <w:tcBorders>
              <w:top w:val="single" w:color="000000" w:sz="4" w:space="0"/>
              <w:left w:val="single" w:color="000000" w:sz="4" w:space="0"/>
              <w:bottom w:val="single" w:color="000000" w:sz="4" w:space="0"/>
              <w:right w:val="single" w:color="000000" w:sz="4" w:space="0"/>
            </w:tcBorders>
            <w:shd w:val="clear" w:color="auto" w:fill="F4F4F4"/>
            <w:vAlign w:val="center"/>
          </w:tcPr>
          <w:p>
            <w:pPr>
              <w:autoSpaceDE/>
              <w:autoSpaceDN/>
              <w:adjustRightInd/>
              <w:spacing w:line="360" w:lineRule="exact"/>
              <w:jc w:val="center"/>
              <w:rPr>
                <w:rFonts w:hAnsi="宋体" w:cs="宋体"/>
                <w:b/>
                <w:color w:val="auto"/>
                <w:sz w:val="21"/>
                <w:szCs w:val="21"/>
                <w:highlight w:val="none"/>
              </w:rPr>
            </w:pPr>
            <w:r>
              <w:rPr>
                <w:rFonts w:hint="eastAsia" w:hAnsi="宋体" w:cs="宋体"/>
                <w:b/>
                <w:color w:val="auto"/>
                <w:sz w:val="21"/>
                <w:szCs w:val="21"/>
                <w:highlight w:val="none"/>
              </w:rPr>
              <w:t>备注</w:t>
            </w:r>
          </w:p>
        </w:tc>
      </w:tr>
      <w:tr>
        <w:tblPrEx>
          <w:tblCellMar>
            <w:top w:w="0" w:type="dxa"/>
            <w:left w:w="0" w:type="dxa"/>
            <w:bottom w:w="0" w:type="dxa"/>
            <w:right w:w="0" w:type="dxa"/>
          </w:tblCellMar>
        </w:tblPrEx>
        <w:trPr>
          <w:trHeight w:val="396" w:hRule="exact"/>
        </w:trPr>
        <w:tc>
          <w:tcPr>
            <w:tcW w:w="388"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r>
              <w:rPr>
                <w:rFonts w:hAnsi="宋体" w:cs="宋体"/>
                <w:color w:val="auto"/>
                <w:kern w:val="2"/>
                <w:sz w:val="21"/>
                <w:szCs w:val="21"/>
                <w:highlight w:val="none"/>
              </w:rPr>
              <w:t>1</w:t>
            </w:r>
          </w:p>
        </w:tc>
        <w:tc>
          <w:tcPr>
            <w:tcW w:w="893"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851"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2107"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1900"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529"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584"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1396"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389"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r>
      <w:tr>
        <w:tblPrEx>
          <w:tblCellMar>
            <w:top w:w="0" w:type="dxa"/>
            <w:left w:w="0" w:type="dxa"/>
            <w:bottom w:w="0" w:type="dxa"/>
            <w:right w:w="0" w:type="dxa"/>
          </w:tblCellMar>
        </w:tblPrEx>
        <w:trPr>
          <w:trHeight w:val="396" w:hRule="exact"/>
        </w:trPr>
        <w:tc>
          <w:tcPr>
            <w:tcW w:w="388"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r>
              <w:rPr>
                <w:rFonts w:hAnsi="宋体" w:cs="宋体"/>
                <w:color w:val="auto"/>
                <w:kern w:val="2"/>
                <w:sz w:val="21"/>
                <w:szCs w:val="21"/>
                <w:highlight w:val="none"/>
              </w:rPr>
              <w:t>2</w:t>
            </w:r>
          </w:p>
        </w:tc>
        <w:tc>
          <w:tcPr>
            <w:tcW w:w="893"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851"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2107"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1900"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529"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584"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1396"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389"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r>
      <w:tr>
        <w:tblPrEx>
          <w:tblCellMar>
            <w:top w:w="0" w:type="dxa"/>
            <w:left w:w="0" w:type="dxa"/>
            <w:bottom w:w="0" w:type="dxa"/>
            <w:right w:w="0" w:type="dxa"/>
          </w:tblCellMar>
        </w:tblPrEx>
        <w:trPr>
          <w:trHeight w:val="396" w:hRule="exact"/>
        </w:trPr>
        <w:tc>
          <w:tcPr>
            <w:tcW w:w="388"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r>
              <w:rPr>
                <w:rFonts w:hAnsi="宋体" w:cs="宋体"/>
                <w:color w:val="auto"/>
                <w:kern w:val="2"/>
                <w:sz w:val="21"/>
                <w:szCs w:val="21"/>
                <w:highlight w:val="none"/>
              </w:rPr>
              <w:t>3</w:t>
            </w:r>
          </w:p>
        </w:tc>
        <w:tc>
          <w:tcPr>
            <w:tcW w:w="893"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851"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2107"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1900"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529"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584"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1396"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389"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r>
      <w:tr>
        <w:tblPrEx>
          <w:tblCellMar>
            <w:top w:w="0" w:type="dxa"/>
            <w:left w:w="0" w:type="dxa"/>
            <w:bottom w:w="0" w:type="dxa"/>
            <w:right w:w="0" w:type="dxa"/>
          </w:tblCellMar>
        </w:tblPrEx>
        <w:trPr>
          <w:trHeight w:val="396" w:hRule="exact"/>
        </w:trPr>
        <w:tc>
          <w:tcPr>
            <w:tcW w:w="388"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r>
              <w:rPr>
                <w:rFonts w:hAnsi="宋体" w:cs="宋体"/>
                <w:color w:val="auto"/>
                <w:kern w:val="2"/>
                <w:sz w:val="21"/>
                <w:szCs w:val="21"/>
                <w:highlight w:val="none"/>
              </w:rPr>
              <w:t>4</w:t>
            </w:r>
          </w:p>
        </w:tc>
        <w:tc>
          <w:tcPr>
            <w:tcW w:w="893"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851"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2107"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1900"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529"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584"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1396"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389"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r>
      <w:tr>
        <w:tblPrEx>
          <w:tblCellMar>
            <w:top w:w="0" w:type="dxa"/>
            <w:left w:w="0" w:type="dxa"/>
            <w:bottom w:w="0" w:type="dxa"/>
            <w:right w:w="0" w:type="dxa"/>
          </w:tblCellMar>
        </w:tblPrEx>
        <w:trPr>
          <w:trHeight w:val="396" w:hRule="exact"/>
        </w:trPr>
        <w:tc>
          <w:tcPr>
            <w:tcW w:w="388"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r>
              <w:rPr>
                <w:rFonts w:hAnsi="宋体" w:cs="宋体"/>
                <w:color w:val="auto"/>
                <w:kern w:val="2"/>
                <w:sz w:val="21"/>
                <w:szCs w:val="21"/>
                <w:highlight w:val="none"/>
              </w:rPr>
              <w:t>5</w:t>
            </w:r>
          </w:p>
        </w:tc>
        <w:tc>
          <w:tcPr>
            <w:tcW w:w="893"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851"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2107"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1900"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529"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584"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1396"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389"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r>
      <w:tr>
        <w:tblPrEx>
          <w:tblCellMar>
            <w:top w:w="0" w:type="dxa"/>
            <w:left w:w="0" w:type="dxa"/>
            <w:bottom w:w="0" w:type="dxa"/>
            <w:right w:w="0" w:type="dxa"/>
          </w:tblCellMar>
        </w:tblPrEx>
        <w:trPr>
          <w:trHeight w:val="396" w:hRule="exact"/>
        </w:trPr>
        <w:tc>
          <w:tcPr>
            <w:tcW w:w="388"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r>
              <w:rPr>
                <w:rFonts w:hAnsi="宋体" w:cs="宋体"/>
                <w:color w:val="auto"/>
                <w:kern w:val="2"/>
                <w:sz w:val="21"/>
                <w:szCs w:val="21"/>
                <w:highlight w:val="none"/>
              </w:rPr>
              <w:t>6</w:t>
            </w:r>
          </w:p>
        </w:tc>
        <w:tc>
          <w:tcPr>
            <w:tcW w:w="893"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851"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2107"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1900"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529"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584"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1396"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389"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r>
      <w:tr>
        <w:tblPrEx>
          <w:tblCellMar>
            <w:top w:w="0" w:type="dxa"/>
            <w:left w:w="0" w:type="dxa"/>
            <w:bottom w:w="0" w:type="dxa"/>
            <w:right w:w="0" w:type="dxa"/>
          </w:tblCellMar>
        </w:tblPrEx>
        <w:trPr>
          <w:trHeight w:val="780" w:hRule="exact"/>
        </w:trPr>
        <w:tc>
          <w:tcPr>
            <w:tcW w:w="388"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w:t>
            </w:r>
          </w:p>
        </w:tc>
        <w:tc>
          <w:tcPr>
            <w:tcW w:w="893"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851"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2107"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1900"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529"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584"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1396"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c>
          <w:tcPr>
            <w:tcW w:w="389" w:type="dxa"/>
            <w:tcBorders>
              <w:top w:val="single" w:color="000000" w:sz="4" w:space="0"/>
              <w:left w:val="single" w:color="000000" w:sz="4" w:space="0"/>
              <w:bottom w:val="single" w:color="000000" w:sz="4" w:space="0"/>
              <w:right w:val="single" w:color="000000" w:sz="4" w:space="0"/>
            </w:tcBorders>
            <w:vAlign w:val="center"/>
          </w:tcPr>
          <w:p>
            <w:pPr>
              <w:autoSpaceDE/>
              <w:autoSpaceDN/>
              <w:adjustRightInd/>
              <w:spacing w:line="400" w:lineRule="exact"/>
              <w:jc w:val="center"/>
              <w:rPr>
                <w:rFonts w:hAnsi="宋体" w:cs="宋体"/>
                <w:color w:val="auto"/>
                <w:kern w:val="2"/>
                <w:sz w:val="21"/>
                <w:szCs w:val="21"/>
                <w:highlight w:val="none"/>
              </w:rPr>
            </w:pPr>
          </w:p>
        </w:tc>
      </w:tr>
    </w:tbl>
    <w:p>
      <w:pPr>
        <w:spacing w:line="360" w:lineRule="auto"/>
        <w:rPr>
          <w:rFonts w:hAnsi="宋体"/>
          <w:color w:val="auto"/>
          <w:sz w:val="21"/>
          <w:szCs w:val="21"/>
          <w:highlight w:val="none"/>
        </w:rPr>
      </w:pPr>
    </w:p>
    <w:p>
      <w:pPr>
        <w:spacing w:line="360" w:lineRule="auto"/>
        <w:rPr>
          <w:rFonts w:hAnsi="宋体"/>
          <w:color w:val="auto"/>
          <w:sz w:val="21"/>
          <w:szCs w:val="21"/>
          <w:highlight w:val="none"/>
        </w:rPr>
      </w:pPr>
      <w:r>
        <w:rPr>
          <w:rFonts w:hint="eastAsia" w:hAnsi="宋体"/>
          <w:color w:val="auto"/>
          <w:sz w:val="21"/>
          <w:szCs w:val="21"/>
          <w:highlight w:val="none"/>
        </w:rPr>
        <w:t>说明：</w:t>
      </w:r>
    </w:p>
    <w:p>
      <w:pPr>
        <w:spacing w:line="360" w:lineRule="auto"/>
        <w:rPr>
          <w:rFonts w:hAnsi="宋体"/>
          <w:color w:val="auto"/>
          <w:sz w:val="21"/>
          <w:szCs w:val="21"/>
          <w:highlight w:val="none"/>
        </w:rPr>
      </w:pPr>
      <w:r>
        <w:rPr>
          <w:rFonts w:hAnsi="宋体"/>
          <w:color w:val="auto"/>
          <w:sz w:val="21"/>
          <w:szCs w:val="21"/>
          <w:highlight w:val="none"/>
        </w:rPr>
        <w:t>1.</w:t>
      </w:r>
      <w:r>
        <w:rPr>
          <w:rFonts w:hint="eastAsia" w:hAnsi="宋体"/>
          <w:color w:val="auto"/>
          <w:sz w:val="21"/>
          <w:szCs w:val="21"/>
          <w:highlight w:val="none"/>
        </w:rPr>
        <w:t>“采购文件规定的技术和服务要求”项下填写的内容应与磋商文件中采购需求的</w:t>
      </w:r>
      <w:r>
        <w:rPr>
          <w:rFonts w:hAnsi="宋体"/>
          <w:color w:val="auto"/>
          <w:sz w:val="21"/>
          <w:szCs w:val="21"/>
          <w:highlight w:val="none"/>
        </w:rPr>
        <w:t xml:space="preserve">  </w:t>
      </w:r>
      <w:r>
        <w:rPr>
          <w:rFonts w:hint="eastAsia" w:hAnsi="宋体"/>
          <w:color w:val="auto"/>
          <w:sz w:val="21"/>
          <w:szCs w:val="21"/>
          <w:highlight w:val="none"/>
        </w:rPr>
        <w:t>“技术要求”的内容保持一致。供应商应当如实填写上表“响应文件响应的具体内容”处内容，对采购文件提出的要求和条件作出明确响应，并列明具体响应数值或内</w:t>
      </w:r>
      <w:r>
        <w:rPr>
          <w:rFonts w:hAnsi="宋体"/>
          <w:color w:val="auto"/>
          <w:sz w:val="21"/>
          <w:szCs w:val="21"/>
          <w:highlight w:val="none"/>
        </w:rPr>
        <w:t xml:space="preserve">  </w:t>
      </w:r>
      <w:r>
        <w:rPr>
          <w:rFonts w:hint="eastAsia" w:hAnsi="宋体"/>
          <w:color w:val="auto"/>
          <w:sz w:val="21"/>
          <w:szCs w:val="21"/>
          <w:highlight w:val="none"/>
        </w:rPr>
        <w:t>容，只注明符合、满足等无具体内容表述的，将视为未实质性满足磋商文件要求。供应商需要说明的内容若需特殊表达，应先在本表中进行相应说明，再另页应答，否则投标无效。</w:t>
      </w:r>
    </w:p>
    <w:p>
      <w:pPr>
        <w:spacing w:line="360" w:lineRule="auto"/>
        <w:rPr>
          <w:rFonts w:hAnsi="宋体"/>
          <w:color w:val="auto"/>
          <w:sz w:val="21"/>
          <w:szCs w:val="21"/>
          <w:highlight w:val="none"/>
        </w:rPr>
      </w:pPr>
      <w:r>
        <w:rPr>
          <w:rFonts w:hint="eastAsia" w:hAnsi="宋体"/>
          <w:color w:val="auto"/>
          <w:sz w:val="21"/>
          <w:szCs w:val="21"/>
          <w:highlight w:val="none"/>
        </w:rPr>
        <w:t>2.参数性质栏目按磋商文件有标注的“★”、“▲”号条款进行填写，打“★”号条款为实质性条款，若有任何一条负偏离或不满足则导致投标无效。打“▲”号条款为重要技术参数（如有），若有部分“▲”条款未响应或不满足，将根据评审要求影响其得</w:t>
      </w:r>
      <w:r>
        <w:rPr>
          <w:rFonts w:hAnsi="宋体"/>
          <w:color w:val="auto"/>
          <w:sz w:val="21"/>
          <w:szCs w:val="21"/>
          <w:highlight w:val="none"/>
        </w:rPr>
        <w:t xml:space="preserve"> </w:t>
      </w:r>
      <w:r>
        <w:rPr>
          <w:rFonts w:hint="eastAsia" w:hAnsi="宋体"/>
          <w:color w:val="auto"/>
          <w:sz w:val="21"/>
          <w:szCs w:val="21"/>
          <w:highlight w:val="none"/>
        </w:rPr>
        <w:t>分，但不作为无效投标条款。</w:t>
      </w:r>
    </w:p>
    <w:p>
      <w:pPr>
        <w:spacing w:line="360" w:lineRule="auto"/>
        <w:rPr>
          <w:rFonts w:hAnsi="宋体"/>
          <w:color w:val="auto"/>
          <w:sz w:val="21"/>
          <w:szCs w:val="21"/>
          <w:highlight w:val="none"/>
        </w:rPr>
      </w:pPr>
      <w:r>
        <w:rPr>
          <w:rFonts w:hint="eastAsia" w:hAnsi="宋体"/>
          <w:color w:val="auto"/>
          <w:sz w:val="21"/>
          <w:szCs w:val="21"/>
          <w:highlight w:val="none"/>
        </w:rPr>
        <w:t>3.“是否偏离”项下应按下列规定填写：优于的，填写“正偏离”；符合的，填写“无偏离”；低于的，填写“负偏离”。</w:t>
      </w:r>
    </w:p>
    <w:p>
      <w:pPr>
        <w:spacing w:line="360" w:lineRule="auto"/>
        <w:rPr>
          <w:rFonts w:hAnsi="宋体"/>
          <w:color w:val="auto"/>
          <w:sz w:val="21"/>
          <w:szCs w:val="21"/>
          <w:highlight w:val="none"/>
        </w:rPr>
      </w:pPr>
      <w:r>
        <w:rPr>
          <w:rFonts w:hAnsi="宋体"/>
          <w:color w:val="auto"/>
          <w:sz w:val="21"/>
          <w:szCs w:val="21"/>
          <w:highlight w:val="none"/>
        </w:rPr>
        <w:t>4.</w:t>
      </w:r>
      <w:r>
        <w:rPr>
          <w:rFonts w:hint="eastAsia" w:hAnsi="宋体"/>
          <w:color w:val="auto"/>
          <w:sz w:val="21"/>
          <w:szCs w:val="21"/>
          <w:highlight w:val="none"/>
        </w:rPr>
        <w:t>“备注”处可填写偏离情况的说明。</w:t>
      </w:r>
    </w:p>
    <w:p>
      <w:pPr>
        <w:snapToGrid w:val="0"/>
        <w:spacing w:line="360" w:lineRule="auto"/>
        <w:rPr>
          <w:rFonts w:hAnsi="宋体"/>
          <w:color w:val="auto"/>
          <w:sz w:val="21"/>
          <w:szCs w:val="21"/>
          <w:highlight w:val="none"/>
        </w:rPr>
      </w:pPr>
    </w:p>
    <w:p>
      <w:pPr>
        <w:snapToGrid w:val="0"/>
        <w:spacing w:line="360" w:lineRule="auto"/>
        <w:rPr>
          <w:rFonts w:hAnsi="宋体"/>
          <w:color w:val="auto"/>
          <w:sz w:val="21"/>
          <w:szCs w:val="21"/>
          <w:highlight w:val="none"/>
        </w:rPr>
      </w:pPr>
    </w:p>
    <w:p>
      <w:pPr>
        <w:snapToGrid w:val="0"/>
        <w:spacing w:line="360" w:lineRule="auto"/>
        <w:rPr>
          <w:rFonts w:hAnsi="宋体"/>
          <w:color w:val="auto"/>
          <w:sz w:val="21"/>
          <w:szCs w:val="21"/>
          <w:highlight w:val="none"/>
          <w:u w:val="single"/>
        </w:rPr>
      </w:pPr>
      <w:r>
        <w:rPr>
          <w:rFonts w:hint="eastAsia" w:hAnsi="宋体"/>
          <w:color w:val="auto"/>
          <w:sz w:val="21"/>
          <w:szCs w:val="21"/>
          <w:highlight w:val="none"/>
        </w:rPr>
        <w:t>供应商名称（加盖公章）：</w:t>
      </w:r>
    </w:p>
    <w:p>
      <w:pPr>
        <w:snapToGrid w:val="0"/>
        <w:spacing w:line="360" w:lineRule="auto"/>
        <w:rPr>
          <w:rFonts w:hAnsi="宋体"/>
          <w:color w:val="auto"/>
          <w:sz w:val="21"/>
          <w:szCs w:val="21"/>
          <w:highlight w:val="none"/>
        </w:rPr>
      </w:pPr>
      <w:r>
        <w:rPr>
          <w:rFonts w:hint="eastAsia" w:hAnsi="宋体"/>
          <w:color w:val="auto"/>
          <w:sz w:val="21"/>
          <w:szCs w:val="21"/>
          <w:highlight w:val="none"/>
        </w:rPr>
        <w:t xml:space="preserve">日期： </w:t>
      </w:r>
    </w:p>
    <w:p>
      <w:pPr>
        <w:pStyle w:val="4"/>
        <w:pageBreakBefore/>
        <w:numPr>
          <w:ilvl w:val="0"/>
          <w:numId w:val="28"/>
        </w:numPr>
        <w:spacing w:line="360" w:lineRule="auto"/>
        <w:jc w:val="center"/>
        <w:rPr>
          <w:rFonts w:hAnsi="宋体"/>
          <w:b/>
          <w:color w:val="auto"/>
          <w:highlight w:val="none"/>
        </w:rPr>
      </w:pPr>
      <w:bookmarkStart w:id="127" w:name="_Toc1178"/>
      <w:r>
        <w:rPr>
          <w:rFonts w:hint="eastAsia" w:hAnsi="宋体"/>
          <w:b/>
          <w:color w:val="auto"/>
          <w:highlight w:val="none"/>
        </w:rPr>
        <w:t>商务条件响应表</w:t>
      </w:r>
      <w:bookmarkEnd w:id="127"/>
    </w:p>
    <w:p>
      <w:pPr>
        <w:spacing w:line="360" w:lineRule="auto"/>
        <w:rPr>
          <w:rFonts w:hAnsi="宋体"/>
          <w:color w:val="auto"/>
          <w:sz w:val="21"/>
          <w:szCs w:val="21"/>
          <w:highlight w:val="none"/>
        </w:rPr>
      </w:pPr>
    </w:p>
    <w:tbl>
      <w:tblPr>
        <w:tblStyle w:val="48"/>
        <w:tblW w:w="5000" w:type="pct"/>
        <w:tblInd w:w="-5" w:type="dxa"/>
        <w:tblLayout w:type="autofit"/>
        <w:tblCellMar>
          <w:top w:w="0" w:type="dxa"/>
          <w:left w:w="0" w:type="dxa"/>
          <w:bottom w:w="0" w:type="dxa"/>
          <w:right w:w="0" w:type="dxa"/>
        </w:tblCellMar>
      </w:tblPr>
      <w:tblGrid>
        <w:gridCol w:w="572"/>
        <w:gridCol w:w="886"/>
        <w:gridCol w:w="2252"/>
        <w:gridCol w:w="2259"/>
        <w:gridCol w:w="893"/>
        <w:gridCol w:w="1674"/>
        <w:gridCol w:w="501"/>
      </w:tblGrid>
      <w:tr>
        <w:tblPrEx>
          <w:tblCellMar>
            <w:top w:w="0" w:type="dxa"/>
            <w:left w:w="0" w:type="dxa"/>
            <w:bottom w:w="0" w:type="dxa"/>
            <w:right w:w="0" w:type="dxa"/>
          </w:tblCellMar>
        </w:tblPrEx>
        <w:trPr>
          <w:trHeight w:val="928" w:hRule="exact"/>
        </w:trPr>
        <w:tc>
          <w:tcPr>
            <w:tcW w:w="317" w:type="pct"/>
            <w:tcBorders>
              <w:top w:val="single" w:color="000000" w:sz="4" w:space="0"/>
              <w:left w:val="single" w:color="000000" w:sz="4" w:space="0"/>
              <w:bottom w:val="single" w:color="000000" w:sz="4" w:space="0"/>
              <w:right w:val="single" w:color="000000" w:sz="4" w:space="0"/>
            </w:tcBorders>
            <w:shd w:val="clear" w:color="auto" w:fill="F4F4F4"/>
          </w:tcPr>
          <w:p>
            <w:pPr>
              <w:autoSpaceDE/>
              <w:autoSpaceDN/>
              <w:adjustRightInd/>
              <w:spacing w:line="360" w:lineRule="exact"/>
              <w:jc w:val="center"/>
              <w:rPr>
                <w:rFonts w:hAnsi="宋体" w:cs="宋体"/>
                <w:b/>
                <w:color w:val="auto"/>
                <w:sz w:val="21"/>
                <w:szCs w:val="21"/>
                <w:highlight w:val="none"/>
              </w:rPr>
            </w:pPr>
            <w:r>
              <w:rPr>
                <w:rFonts w:hint="eastAsia" w:hAnsi="宋体" w:cs="宋体"/>
                <w:b/>
                <w:color w:val="auto"/>
                <w:sz w:val="21"/>
                <w:szCs w:val="21"/>
                <w:highlight w:val="none"/>
              </w:rPr>
              <w:t>序号</w:t>
            </w:r>
          </w:p>
        </w:tc>
        <w:tc>
          <w:tcPr>
            <w:tcW w:w="490" w:type="pct"/>
            <w:tcBorders>
              <w:top w:val="single" w:color="000000" w:sz="4" w:space="0"/>
              <w:left w:val="single" w:color="000000" w:sz="4" w:space="0"/>
              <w:bottom w:val="single" w:color="000000" w:sz="4" w:space="0"/>
              <w:right w:val="single" w:color="000000" w:sz="4" w:space="0"/>
            </w:tcBorders>
            <w:shd w:val="clear" w:color="auto" w:fill="F4F4F4"/>
          </w:tcPr>
          <w:p>
            <w:pPr>
              <w:autoSpaceDE/>
              <w:autoSpaceDN/>
              <w:adjustRightInd/>
              <w:spacing w:line="360" w:lineRule="exact"/>
              <w:jc w:val="center"/>
              <w:rPr>
                <w:rFonts w:hAnsi="宋体" w:cs="宋体"/>
                <w:b/>
                <w:color w:val="auto"/>
                <w:sz w:val="21"/>
                <w:szCs w:val="21"/>
                <w:highlight w:val="none"/>
              </w:rPr>
            </w:pPr>
            <w:r>
              <w:rPr>
                <w:rFonts w:hint="eastAsia" w:hAnsi="宋体" w:cs="宋体"/>
                <w:b/>
                <w:color w:val="auto"/>
                <w:sz w:val="21"/>
                <w:szCs w:val="21"/>
                <w:highlight w:val="none"/>
              </w:rPr>
              <w:t>参数性质</w:t>
            </w:r>
          </w:p>
        </w:tc>
        <w:tc>
          <w:tcPr>
            <w:tcW w:w="1246" w:type="pct"/>
            <w:tcBorders>
              <w:top w:val="single" w:color="000000" w:sz="4" w:space="0"/>
              <w:left w:val="single" w:color="000000" w:sz="4" w:space="0"/>
              <w:bottom w:val="single" w:color="000000" w:sz="4" w:space="0"/>
              <w:right w:val="single" w:color="000000" w:sz="4" w:space="0"/>
            </w:tcBorders>
            <w:shd w:val="clear" w:color="auto" w:fill="F4F4F4"/>
          </w:tcPr>
          <w:p>
            <w:pPr>
              <w:autoSpaceDE/>
              <w:autoSpaceDN/>
              <w:adjustRightInd/>
              <w:spacing w:line="360" w:lineRule="exact"/>
              <w:jc w:val="center"/>
              <w:rPr>
                <w:rFonts w:hAnsi="宋体" w:cs="宋体"/>
                <w:b/>
                <w:color w:val="auto"/>
                <w:sz w:val="21"/>
                <w:szCs w:val="21"/>
                <w:highlight w:val="none"/>
              </w:rPr>
            </w:pPr>
            <w:r>
              <w:rPr>
                <w:rFonts w:hint="eastAsia" w:hAnsi="宋体" w:cs="宋体"/>
                <w:b/>
                <w:color w:val="auto"/>
                <w:sz w:val="21"/>
                <w:szCs w:val="21"/>
                <w:highlight w:val="none"/>
              </w:rPr>
              <w:t>采购文件规定的商务条件</w:t>
            </w:r>
          </w:p>
        </w:tc>
        <w:tc>
          <w:tcPr>
            <w:tcW w:w="1250" w:type="pct"/>
            <w:tcBorders>
              <w:top w:val="single" w:color="000000" w:sz="4" w:space="0"/>
              <w:left w:val="single" w:color="000000" w:sz="4" w:space="0"/>
              <w:bottom w:val="single" w:color="000000" w:sz="4" w:space="0"/>
              <w:right w:val="single" w:color="000000" w:sz="4" w:space="0"/>
            </w:tcBorders>
            <w:shd w:val="clear" w:color="auto" w:fill="F4F4F4"/>
          </w:tcPr>
          <w:p>
            <w:pPr>
              <w:autoSpaceDE/>
              <w:autoSpaceDN/>
              <w:adjustRightInd/>
              <w:spacing w:line="360" w:lineRule="exact"/>
              <w:jc w:val="center"/>
              <w:rPr>
                <w:rFonts w:hAnsi="宋体" w:cs="宋体"/>
                <w:b/>
                <w:color w:val="auto"/>
                <w:sz w:val="21"/>
                <w:szCs w:val="21"/>
                <w:highlight w:val="none"/>
              </w:rPr>
            </w:pPr>
            <w:r>
              <w:rPr>
                <w:rFonts w:hint="eastAsia" w:hAnsi="宋体" w:cs="宋体"/>
                <w:b/>
                <w:color w:val="auto"/>
                <w:sz w:val="21"/>
                <w:szCs w:val="21"/>
                <w:highlight w:val="none"/>
              </w:rPr>
              <w:t>响应文件响应的具体内容</w:t>
            </w:r>
          </w:p>
        </w:tc>
        <w:tc>
          <w:tcPr>
            <w:tcW w:w="494" w:type="pct"/>
            <w:tcBorders>
              <w:top w:val="single" w:color="000000" w:sz="4" w:space="0"/>
              <w:left w:val="single" w:color="000000" w:sz="4" w:space="0"/>
              <w:bottom w:val="single" w:color="000000" w:sz="4" w:space="0"/>
              <w:right w:val="single" w:color="000000" w:sz="4" w:space="0"/>
            </w:tcBorders>
            <w:shd w:val="clear" w:color="auto" w:fill="F4F4F4"/>
          </w:tcPr>
          <w:p>
            <w:pPr>
              <w:autoSpaceDE/>
              <w:autoSpaceDN/>
              <w:adjustRightInd/>
              <w:spacing w:line="360" w:lineRule="exact"/>
              <w:jc w:val="center"/>
              <w:rPr>
                <w:rFonts w:hAnsi="宋体" w:cs="宋体"/>
                <w:b/>
                <w:color w:val="auto"/>
                <w:sz w:val="21"/>
                <w:szCs w:val="21"/>
                <w:highlight w:val="none"/>
              </w:rPr>
            </w:pPr>
            <w:r>
              <w:rPr>
                <w:rFonts w:hint="eastAsia" w:hAnsi="宋体" w:cs="宋体"/>
                <w:b/>
                <w:color w:val="auto"/>
                <w:sz w:val="21"/>
                <w:szCs w:val="21"/>
                <w:highlight w:val="none"/>
              </w:rPr>
              <w:t>是否偏离</w:t>
            </w:r>
          </w:p>
        </w:tc>
        <w:tc>
          <w:tcPr>
            <w:tcW w:w="926" w:type="pct"/>
            <w:tcBorders>
              <w:top w:val="single" w:color="000000" w:sz="4" w:space="0"/>
              <w:left w:val="single" w:color="000000" w:sz="4" w:space="0"/>
              <w:bottom w:val="single" w:color="000000" w:sz="4" w:space="0"/>
              <w:right w:val="single" w:color="000000" w:sz="4" w:space="0"/>
            </w:tcBorders>
            <w:shd w:val="clear" w:color="auto" w:fill="F4F4F4"/>
          </w:tcPr>
          <w:p>
            <w:pPr>
              <w:autoSpaceDE/>
              <w:autoSpaceDN/>
              <w:adjustRightInd/>
              <w:spacing w:line="360" w:lineRule="exact"/>
              <w:jc w:val="center"/>
              <w:rPr>
                <w:rFonts w:hAnsi="宋体" w:cs="宋体"/>
                <w:b/>
                <w:color w:val="auto"/>
                <w:sz w:val="21"/>
                <w:szCs w:val="21"/>
                <w:highlight w:val="none"/>
              </w:rPr>
            </w:pPr>
            <w:r>
              <w:rPr>
                <w:rFonts w:hint="eastAsia" w:hAnsi="宋体" w:cs="宋体"/>
                <w:b/>
                <w:color w:val="auto"/>
                <w:sz w:val="21"/>
                <w:szCs w:val="21"/>
                <w:highlight w:val="none"/>
              </w:rPr>
              <w:t>证明文件所在位置</w:t>
            </w:r>
          </w:p>
        </w:tc>
        <w:tc>
          <w:tcPr>
            <w:tcW w:w="277" w:type="pct"/>
            <w:tcBorders>
              <w:top w:val="single" w:color="000000" w:sz="4" w:space="0"/>
              <w:left w:val="single" w:color="000000" w:sz="4" w:space="0"/>
              <w:bottom w:val="single" w:color="000000" w:sz="4" w:space="0"/>
              <w:right w:val="single" w:color="000000" w:sz="4" w:space="0"/>
            </w:tcBorders>
            <w:shd w:val="clear" w:color="auto" w:fill="F4F4F4"/>
          </w:tcPr>
          <w:p>
            <w:pPr>
              <w:autoSpaceDE/>
              <w:autoSpaceDN/>
              <w:adjustRightInd/>
              <w:spacing w:line="360" w:lineRule="exact"/>
              <w:jc w:val="center"/>
              <w:rPr>
                <w:rFonts w:hAnsi="宋体" w:cs="宋体"/>
                <w:b/>
                <w:color w:val="auto"/>
                <w:sz w:val="21"/>
                <w:szCs w:val="21"/>
                <w:highlight w:val="none"/>
              </w:rPr>
            </w:pPr>
            <w:r>
              <w:rPr>
                <w:rFonts w:hint="eastAsia" w:hAnsi="宋体" w:cs="宋体"/>
                <w:b/>
                <w:color w:val="auto"/>
                <w:sz w:val="21"/>
                <w:szCs w:val="21"/>
                <w:highlight w:val="none"/>
              </w:rPr>
              <w:t>备注</w:t>
            </w:r>
          </w:p>
        </w:tc>
      </w:tr>
      <w:tr>
        <w:tblPrEx>
          <w:tblCellMar>
            <w:top w:w="0" w:type="dxa"/>
            <w:left w:w="0" w:type="dxa"/>
            <w:bottom w:w="0" w:type="dxa"/>
            <w:right w:w="0" w:type="dxa"/>
          </w:tblCellMar>
        </w:tblPrEx>
        <w:trPr>
          <w:trHeight w:val="396" w:hRule="exact"/>
        </w:trPr>
        <w:tc>
          <w:tcPr>
            <w:tcW w:w="317"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r>
              <w:rPr>
                <w:rFonts w:hAnsi="宋体" w:cs="宋体"/>
                <w:color w:val="auto"/>
                <w:kern w:val="2"/>
                <w:sz w:val="21"/>
                <w:szCs w:val="21"/>
                <w:highlight w:val="none"/>
              </w:rPr>
              <w:t>1</w:t>
            </w:r>
          </w:p>
        </w:tc>
        <w:tc>
          <w:tcPr>
            <w:tcW w:w="490"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1246"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1250"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494"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926"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277"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r>
      <w:tr>
        <w:tblPrEx>
          <w:tblCellMar>
            <w:top w:w="0" w:type="dxa"/>
            <w:left w:w="0" w:type="dxa"/>
            <w:bottom w:w="0" w:type="dxa"/>
            <w:right w:w="0" w:type="dxa"/>
          </w:tblCellMar>
        </w:tblPrEx>
        <w:trPr>
          <w:trHeight w:val="396" w:hRule="exact"/>
        </w:trPr>
        <w:tc>
          <w:tcPr>
            <w:tcW w:w="317"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r>
              <w:rPr>
                <w:rFonts w:hAnsi="宋体" w:cs="宋体"/>
                <w:color w:val="auto"/>
                <w:kern w:val="2"/>
                <w:sz w:val="21"/>
                <w:szCs w:val="21"/>
                <w:highlight w:val="none"/>
              </w:rPr>
              <w:t>2</w:t>
            </w:r>
          </w:p>
        </w:tc>
        <w:tc>
          <w:tcPr>
            <w:tcW w:w="490"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1246"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1250"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494"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926"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277"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r>
      <w:tr>
        <w:tblPrEx>
          <w:tblCellMar>
            <w:top w:w="0" w:type="dxa"/>
            <w:left w:w="0" w:type="dxa"/>
            <w:bottom w:w="0" w:type="dxa"/>
            <w:right w:w="0" w:type="dxa"/>
          </w:tblCellMar>
        </w:tblPrEx>
        <w:trPr>
          <w:trHeight w:val="396" w:hRule="exact"/>
        </w:trPr>
        <w:tc>
          <w:tcPr>
            <w:tcW w:w="317"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r>
              <w:rPr>
                <w:rFonts w:hAnsi="宋体" w:cs="宋体"/>
                <w:color w:val="auto"/>
                <w:kern w:val="2"/>
                <w:sz w:val="21"/>
                <w:szCs w:val="21"/>
                <w:highlight w:val="none"/>
              </w:rPr>
              <w:t>3</w:t>
            </w:r>
          </w:p>
        </w:tc>
        <w:tc>
          <w:tcPr>
            <w:tcW w:w="490"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1246"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1250"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494"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926"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277"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r>
      <w:tr>
        <w:tblPrEx>
          <w:tblCellMar>
            <w:top w:w="0" w:type="dxa"/>
            <w:left w:w="0" w:type="dxa"/>
            <w:bottom w:w="0" w:type="dxa"/>
            <w:right w:w="0" w:type="dxa"/>
          </w:tblCellMar>
        </w:tblPrEx>
        <w:trPr>
          <w:trHeight w:val="396" w:hRule="exact"/>
        </w:trPr>
        <w:tc>
          <w:tcPr>
            <w:tcW w:w="317"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r>
              <w:rPr>
                <w:rFonts w:hAnsi="宋体" w:cs="宋体"/>
                <w:color w:val="auto"/>
                <w:kern w:val="2"/>
                <w:sz w:val="21"/>
                <w:szCs w:val="21"/>
                <w:highlight w:val="none"/>
              </w:rPr>
              <w:t>4</w:t>
            </w:r>
          </w:p>
        </w:tc>
        <w:tc>
          <w:tcPr>
            <w:tcW w:w="490"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1246"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1250"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494"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926"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277"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r>
      <w:tr>
        <w:tblPrEx>
          <w:tblCellMar>
            <w:top w:w="0" w:type="dxa"/>
            <w:left w:w="0" w:type="dxa"/>
            <w:bottom w:w="0" w:type="dxa"/>
            <w:right w:w="0" w:type="dxa"/>
          </w:tblCellMar>
        </w:tblPrEx>
        <w:trPr>
          <w:trHeight w:val="396" w:hRule="exact"/>
        </w:trPr>
        <w:tc>
          <w:tcPr>
            <w:tcW w:w="317"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r>
              <w:rPr>
                <w:rFonts w:hAnsi="宋体" w:cs="宋体"/>
                <w:color w:val="auto"/>
                <w:kern w:val="2"/>
                <w:sz w:val="21"/>
                <w:szCs w:val="21"/>
                <w:highlight w:val="none"/>
              </w:rPr>
              <w:t>5</w:t>
            </w:r>
          </w:p>
        </w:tc>
        <w:tc>
          <w:tcPr>
            <w:tcW w:w="490"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1246"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1250"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494"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926"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277"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r>
      <w:tr>
        <w:tblPrEx>
          <w:tblCellMar>
            <w:top w:w="0" w:type="dxa"/>
            <w:left w:w="0" w:type="dxa"/>
            <w:bottom w:w="0" w:type="dxa"/>
            <w:right w:w="0" w:type="dxa"/>
          </w:tblCellMar>
        </w:tblPrEx>
        <w:trPr>
          <w:trHeight w:val="396" w:hRule="exact"/>
        </w:trPr>
        <w:tc>
          <w:tcPr>
            <w:tcW w:w="317"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r>
              <w:rPr>
                <w:rFonts w:hAnsi="宋体" w:cs="宋体"/>
                <w:color w:val="auto"/>
                <w:kern w:val="2"/>
                <w:sz w:val="21"/>
                <w:szCs w:val="21"/>
                <w:highlight w:val="none"/>
              </w:rPr>
              <w:t>6</w:t>
            </w:r>
          </w:p>
        </w:tc>
        <w:tc>
          <w:tcPr>
            <w:tcW w:w="490"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1246"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1250"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494"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926"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277"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r>
      <w:tr>
        <w:tblPrEx>
          <w:tblCellMar>
            <w:top w:w="0" w:type="dxa"/>
            <w:left w:w="0" w:type="dxa"/>
            <w:bottom w:w="0" w:type="dxa"/>
            <w:right w:w="0" w:type="dxa"/>
          </w:tblCellMar>
        </w:tblPrEx>
        <w:trPr>
          <w:trHeight w:val="396" w:hRule="exact"/>
        </w:trPr>
        <w:tc>
          <w:tcPr>
            <w:tcW w:w="317"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r>
              <w:rPr>
                <w:rFonts w:hAnsi="宋体" w:cs="宋体"/>
                <w:color w:val="auto"/>
                <w:kern w:val="2"/>
                <w:sz w:val="21"/>
                <w:szCs w:val="21"/>
                <w:highlight w:val="none"/>
              </w:rPr>
              <w:t>7</w:t>
            </w:r>
          </w:p>
        </w:tc>
        <w:tc>
          <w:tcPr>
            <w:tcW w:w="490"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1246"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1250"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494"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926"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277"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r>
      <w:tr>
        <w:tblPrEx>
          <w:tblCellMar>
            <w:top w:w="0" w:type="dxa"/>
            <w:left w:w="0" w:type="dxa"/>
            <w:bottom w:w="0" w:type="dxa"/>
            <w:right w:w="0" w:type="dxa"/>
          </w:tblCellMar>
        </w:tblPrEx>
        <w:trPr>
          <w:trHeight w:val="396" w:hRule="exact"/>
        </w:trPr>
        <w:tc>
          <w:tcPr>
            <w:tcW w:w="317"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r>
              <w:rPr>
                <w:rFonts w:hAnsi="宋体" w:cs="宋体"/>
                <w:color w:val="auto"/>
                <w:kern w:val="2"/>
                <w:sz w:val="21"/>
                <w:szCs w:val="21"/>
                <w:highlight w:val="none"/>
              </w:rPr>
              <w:t>8</w:t>
            </w:r>
          </w:p>
        </w:tc>
        <w:tc>
          <w:tcPr>
            <w:tcW w:w="490"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1246"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1250"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494"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926"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277"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r>
      <w:tr>
        <w:tblPrEx>
          <w:tblCellMar>
            <w:top w:w="0" w:type="dxa"/>
            <w:left w:w="0" w:type="dxa"/>
            <w:bottom w:w="0" w:type="dxa"/>
            <w:right w:w="0" w:type="dxa"/>
          </w:tblCellMar>
        </w:tblPrEx>
        <w:trPr>
          <w:trHeight w:val="396" w:hRule="exact"/>
        </w:trPr>
        <w:tc>
          <w:tcPr>
            <w:tcW w:w="317"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r>
              <w:rPr>
                <w:rFonts w:hAnsi="宋体" w:cs="宋体"/>
                <w:color w:val="auto"/>
                <w:kern w:val="2"/>
                <w:sz w:val="21"/>
                <w:szCs w:val="21"/>
                <w:highlight w:val="none"/>
              </w:rPr>
              <w:t>9</w:t>
            </w:r>
          </w:p>
        </w:tc>
        <w:tc>
          <w:tcPr>
            <w:tcW w:w="490"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1246"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1250"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494"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926"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277"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r>
      <w:tr>
        <w:tblPrEx>
          <w:tblCellMar>
            <w:top w:w="0" w:type="dxa"/>
            <w:left w:w="0" w:type="dxa"/>
            <w:bottom w:w="0" w:type="dxa"/>
            <w:right w:w="0" w:type="dxa"/>
          </w:tblCellMar>
        </w:tblPrEx>
        <w:trPr>
          <w:trHeight w:val="396" w:hRule="exact"/>
        </w:trPr>
        <w:tc>
          <w:tcPr>
            <w:tcW w:w="317"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r>
              <w:rPr>
                <w:rFonts w:hint="eastAsia" w:hAnsi="宋体" w:cs="宋体"/>
                <w:color w:val="auto"/>
                <w:kern w:val="2"/>
                <w:sz w:val="21"/>
                <w:szCs w:val="21"/>
                <w:highlight w:val="none"/>
              </w:rPr>
              <w:t>……</w:t>
            </w:r>
          </w:p>
        </w:tc>
        <w:tc>
          <w:tcPr>
            <w:tcW w:w="490"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1246"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1250"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494"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926"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c>
          <w:tcPr>
            <w:tcW w:w="277" w:type="pct"/>
            <w:tcBorders>
              <w:top w:val="single" w:color="000000" w:sz="4" w:space="0"/>
              <w:left w:val="single" w:color="000000" w:sz="4" w:space="0"/>
              <w:bottom w:val="single" w:color="000000" w:sz="4" w:space="0"/>
              <w:right w:val="single" w:color="000000" w:sz="4" w:space="0"/>
            </w:tcBorders>
          </w:tcPr>
          <w:p>
            <w:pPr>
              <w:autoSpaceDE/>
              <w:autoSpaceDN/>
              <w:adjustRightInd/>
              <w:spacing w:line="400" w:lineRule="exact"/>
              <w:jc w:val="center"/>
              <w:rPr>
                <w:rFonts w:hAnsi="宋体" w:cs="宋体"/>
                <w:color w:val="auto"/>
                <w:kern w:val="2"/>
                <w:sz w:val="21"/>
                <w:szCs w:val="21"/>
                <w:highlight w:val="none"/>
              </w:rPr>
            </w:pPr>
          </w:p>
        </w:tc>
      </w:tr>
    </w:tbl>
    <w:p>
      <w:pPr>
        <w:spacing w:line="360" w:lineRule="auto"/>
        <w:rPr>
          <w:rFonts w:hAnsi="宋体"/>
          <w:color w:val="auto"/>
          <w:sz w:val="21"/>
          <w:szCs w:val="21"/>
          <w:highlight w:val="none"/>
        </w:rPr>
      </w:pPr>
    </w:p>
    <w:p>
      <w:pPr>
        <w:spacing w:line="360" w:lineRule="auto"/>
        <w:rPr>
          <w:rFonts w:hAnsi="宋体"/>
          <w:color w:val="auto"/>
          <w:sz w:val="21"/>
          <w:szCs w:val="21"/>
          <w:highlight w:val="none"/>
        </w:rPr>
      </w:pPr>
      <w:r>
        <w:rPr>
          <w:rFonts w:hint="eastAsia" w:hAnsi="宋体"/>
          <w:color w:val="auto"/>
          <w:sz w:val="21"/>
          <w:szCs w:val="21"/>
          <w:highlight w:val="none"/>
        </w:rPr>
        <w:t>说明：</w:t>
      </w:r>
    </w:p>
    <w:p>
      <w:pPr>
        <w:spacing w:line="360" w:lineRule="auto"/>
        <w:rPr>
          <w:rFonts w:hAnsi="宋体"/>
          <w:color w:val="auto"/>
          <w:sz w:val="21"/>
          <w:szCs w:val="21"/>
          <w:highlight w:val="none"/>
        </w:rPr>
      </w:pPr>
      <w:r>
        <w:rPr>
          <w:rFonts w:hint="eastAsia" w:hAnsi="宋体"/>
          <w:color w:val="auto"/>
          <w:sz w:val="21"/>
          <w:szCs w:val="21"/>
          <w:highlight w:val="none"/>
        </w:rPr>
        <w:t>1. “采购文件规定的商务条件”项下填写的内容应与磋商文件中采购需求的  “商务要求”的内容保持一致。</w:t>
      </w:r>
    </w:p>
    <w:p>
      <w:pPr>
        <w:spacing w:line="360" w:lineRule="auto"/>
        <w:rPr>
          <w:rFonts w:hAnsi="宋体"/>
          <w:color w:val="auto"/>
          <w:sz w:val="21"/>
          <w:szCs w:val="21"/>
          <w:highlight w:val="none"/>
        </w:rPr>
      </w:pPr>
      <w:r>
        <w:rPr>
          <w:rFonts w:hint="eastAsia" w:hAnsi="宋体"/>
          <w:color w:val="auto"/>
          <w:sz w:val="21"/>
          <w:szCs w:val="21"/>
          <w:highlight w:val="none"/>
        </w:rPr>
        <w:t>2.供应商应当如实填写上表“响应文件响应的具体内容”处内容，对采购文件规定的商务条件作出明确响应，并列明具体 响应数值或内容，只注明符合、满足等无具体内容表述的，将视为未实质性满足磋商文件要求。供应商需要说明的内容若需特殊表达，应先在本表中进行相应说明，再另页应答，否则投标无效。</w:t>
      </w:r>
    </w:p>
    <w:p>
      <w:pPr>
        <w:spacing w:line="360" w:lineRule="auto"/>
        <w:rPr>
          <w:rFonts w:hAnsi="宋体"/>
          <w:color w:val="auto"/>
          <w:sz w:val="21"/>
          <w:szCs w:val="21"/>
          <w:highlight w:val="none"/>
        </w:rPr>
      </w:pPr>
      <w:r>
        <w:rPr>
          <w:rFonts w:hint="eastAsia" w:hAnsi="宋体"/>
          <w:color w:val="auto"/>
          <w:sz w:val="21"/>
          <w:szCs w:val="21"/>
          <w:highlight w:val="none"/>
        </w:rPr>
        <w:t>3.参数性质栏目按磋商文件有标注的“★”、“▲”号条款进行填写，打“★”号条款为实质性条款，若有任何一条负偏离或不满足则导致投标无效。打“▲”号条款为重要技术参数（如有），若有部分“▲”条款未响应或不满足，将根据评审要求影响其得分，但不作为无效投标条款。</w:t>
      </w:r>
    </w:p>
    <w:p>
      <w:pPr>
        <w:spacing w:line="360" w:lineRule="auto"/>
        <w:rPr>
          <w:rFonts w:hAnsi="宋体"/>
          <w:color w:val="auto"/>
          <w:sz w:val="21"/>
          <w:szCs w:val="21"/>
          <w:highlight w:val="none"/>
        </w:rPr>
      </w:pPr>
      <w:r>
        <w:rPr>
          <w:rFonts w:hint="eastAsia" w:hAnsi="宋体"/>
          <w:color w:val="auto"/>
          <w:sz w:val="21"/>
          <w:szCs w:val="21"/>
          <w:highlight w:val="none"/>
        </w:rPr>
        <w:t>4. “是否偏离”项下应按下列规定填写：优于的，填写“正偏离”；符合的，填写“无偏离”；低于的，填写“负偏离”。</w:t>
      </w:r>
    </w:p>
    <w:p>
      <w:pPr>
        <w:spacing w:line="360" w:lineRule="auto"/>
        <w:rPr>
          <w:rFonts w:hAnsi="宋体"/>
          <w:color w:val="auto"/>
          <w:sz w:val="21"/>
          <w:szCs w:val="21"/>
          <w:highlight w:val="none"/>
        </w:rPr>
      </w:pPr>
      <w:r>
        <w:rPr>
          <w:rFonts w:hint="eastAsia" w:hAnsi="宋体"/>
          <w:color w:val="auto"/>
          <w:sz w:val="21"/>
          <w:szCs w:val="21"/>
          <w:highlight w:val="none"/>
        </w:rPr>
        <w:t>5.“备注”处可填写偏离情况的说明。</w:t>
      </w:r>
    </w:p>
    <w:p>
      <w:pPr>
        <w:snapToGrid w:val="0"/>
        <w:spacing w:line="360" w:lineRule="auto"/>
        <w:rPr>
          <w:rFonts w:hAnsi="宋体"/>
          <w:color w:val="auto"/>
          <w:sz w:val="21"/>
          <w:szCs w:val="21"/>
          <w:highlight w:val="none"/>
        </w:rPr>
      </w:pPr>
    </w:p>
    <w:p>
      <w:pPr>
        <w:snapToGrid w:val="0"/>
        <w:spacing w:line="360" w:lineRule="auto"/>
        <w:rPr>
          <w:rFonts w:hAnsi="宋体"/>
          <w:color w:val="auto"/>
          <w:sz w:val="21"/>
          <w:szCs w:val="21"/>
          <w:highlight w:val="none"/>
        </w:rPr>
      </w:pPr>
    </w:p>
    <w:p>
      <w:pPr>
        <w:snapToGrid w:val="0"/>
        <w:spacing w:line="360" w:lineRule="auto"/>
        <w:rPr>
          <w:rFonts w:hAnsi="宋体"/>
          <w:color w:val="auto"/>
          <w:sz w:val="21"/>
          <w:szCs w:val="21"/>
          <w:highlight w:val="none"/>
          <w:u w:val="single"/>
        </w:rPr>
      </w:pPr>
      <w:r>
        <w:rPr>
          <w:rFonts w:hint="eastAsia" w:hAnsi="宋体"/>
          <w:color w:val="auto"/>
          <w:sz w:val="21"/>
          <w:szCs w:val="21"/>
          <w:highlight w:val="none"/>
        </w:rPr>
        <w:t>供应商名称（加盖公章）：</w:t>
      </w:r>
    </w:p>
    <w:p>
      <w:pPr>
        <w:snapToGrid w:val="0"/>
        <w:spacing w:line="360" w:lineRule="auto"/>
        <w:rPr>
          <w:rFonts w:hAnsi="宋体"/>
          <w:color w:val="auto"/>
          <w:sz w:val="21"/>
          <w:szCs w:val="21"/>
          <w:highlight w:val="none"/>
        </w:rPr>
      </w:pPr>
      <w:r>
        <w:rPr>
          <w:rFonts w:hint="eastAsia" w:hAnsi="宋体"/>
          <w:color w:val="auto"/>
          <w:sz w:val="21"/>
          <w:szCs w:val="21"/>
          <w:highlight w:val="none"/>
        </w:rPr>
        <w:t xml:space="preserve">日期： </w:t>
      </w:r>
    </w:p>
    <w:p>
      <w:pPr>
        <w:pStyle w:val="4"/>
        <w:pageBreakBefore/>
        <w:numPr>
          <w:ilvl w:val="0"/>
          <w:numId w:val="28"/>
        </w:numPr>
        <w:spacing w:line="360" w:lineRule="auto"/>
        <w:jc w:val="center"/>
        <w:rPr>
          <w:rFonts w:hAnsi="宋体"/>
          <w:b/>
          <w:color w:val="auto"/>
          <w:highlight w:val="none"/>
        </w:rPr>
      </w:pPr>
      <w:bookmarkStart w:id="128" w:name="_Toc15222"/>
      <w:r>
        <w:rPr>
          <w:rFonts w:hint="eastAsia" w:hAnsi="宋体"/>
          <w:b/>
          <w:color w:val="auto"/>
          <w:highlight w:val="none"/>
        </w:rPr>
        <w:t>投标承诺书</w:t>
      </w:r>
      <w:bookmarkEnd w:id="128"/>
    </w:p>
    <w:p>
      <w:pPr>
        <w:pStyle w:val="26"/>
        <w:spacing w:line="360" w:lineRule="auto"/>
        <w:rPr>
          <w:rFonts w:hAnsi="宋体"/>
          <w:b/>
          <w:color w:val="auto"/>
          <w:highlight w:val="none"/>
        </w:rPr>
      </w:pPr>
    </w:p>
    <w:p>
      <w:pPr>
        <w:pStyle w:val="26"/>
        <w:spacing w:line="360" w:lineRule="auto"/>
        <w:rPr>
          <w:rFonts w:hAnsi="宋体"/>
          <w:b/>
          <w:color w:val="auto"/>
          <w:kern w:val="0"/>
          <w:sz w:val="28"/>
          <w:szCs w:val="28"/>
          <w:highlight w:val="none"/>
        </w:rPr>
      </w:pPr>
      <w:r>
        <w:rPr>
          <w:rFonts w:hint="eastAsia" w:hAnsi="宋体"/>
          <w:b/>
          <w:color w:val="auto"/>
          <w:highlight w:val="none"/>
        </w:rPr>
        <w:t>致：广东中科招标有限公司</w:t>
      </w:r>
      <w:r>
        <w:rPr>
          <w:rFonts w:hint="eastAsia" w:hAnsi="宋体"/>
          <w:b/>
          <w:color w:val="auto"/>
          <w:kern w:val="0"/>
          <w:sz w:val="28"/>
          <w:szCs w:val="28"/>
          <w:highlight w:val="none"/>
        </w:rPr>
        <w:t xml:space="preserve"> </w:t>
      </w:r>
    </w:p>
    <w:p>
      <w:pPr>
        <w:spacing w:line="360" w:lineRule="auto"/>
        <w:rPr>
          <w:rFonts w:hAnsi="宋体"/>
          <w:b/>
          <w:color w:val="auto"/>
          <w:sz w:val="28"/>
          <w:szCs w:val="28"/>
          <w:highlight w:val="none"/>
        </w:rPr>
      </w:pPr>
    </w:p>
    <w:p>
      <w:pPr>
        <w:pStyle w:val="26"/>
        <w:spacing w:line="360" w:lineRule="auto"/>
        <w:ind w:firstLine="420" w:firstLineChars="200"/>
        <w:rPr>
          <w:rFonts w:hAnsi="宋体"/>
          <w:color w:val="auto"/>
          <w:highlight w:val="none"/>
        </w:rPr>
      </w:pPr>
      <w:r>
        <w:rPr>
          <w:rFonts w:hint="eastAsia" w:hAnsi="宋体"/>
          <w:color w:val="auto"/>
          <w:szCs w:val="21"/>
          <w:highlight w:val="none"/>
        </w:rPr>
        <w:t>我方</w:t>
      </w:r>
      <w:r>
        <w:rPr>
          <w:rFonts w:hint="eastAsia" w:hAnsi="宋体"/>
          <w:color w:val="auto"/>
          <w:szCs w:val="21"/>
          <w:highlight w:val="none"/>
          <w:u w:val="single"/>
        </w:rPr>
        <w:t xml:space="preserve">     （供应商名称）   </w:t>
      </w:r>
      <w:r>
        <w:rPr>
          <w:rFonts w:hint="eastAsia" w:hAnsi="宋体"/>
          <w:color w:val="auto"/>
          <w:szCs w:val="21"/>
          <w:highlight w:val="none"/>
        </w:rPr>
        <w:t>已完整阅读了</w:t>
      </w:r>
      <w:r>
        <w:rPr>
          <w:rFonts w:hint="eastAsia" w:hAnsi="宋体"/>
          <w:color w:val="auto"/>
          <w:szCs w:val="21"/>
          <w:highlight w:val="none"/>
          <w:lang w:val="zh-CN"/>
        </w:rPr>
        <w:t>霄边社区典型村“百千万工程”建设提升规划编制</w:t>
      </w:r>
      <w:r>
        <w:rPr>
          <w:rFonts w:hint="eastAsia" w:hAnsi="宋体"/>
          <w:color w:val="auto"/>
          <w:szCs w:val="32"/>
          <w:highlight w:val="none"/>
        </w:rPr>
        <w:t>(采购项目编号</w:t>
      </w:r>
      <w:r>
        <w:rPr>
          <w:rFonts w:hint="eastAsia" w:hAnsi="宋体"/>
          <w:color w:val="auto"/>
          <w:szCs w:val="21"/>
          <w:highlight w:val="none"/>
          <w:lang w:val="zh-CN"/>
        </w:rPr>
        <w:t>：ZKZB-2024-C018)</w:t>
      </w:r>
      <w:r>
        <w:rPr>
          <w:rFonts w:hint="eastAsia" w:hAnsi="宋体"/>
          <w:color w:val="auto"/>
          <w:szCs w:val="21"/>
          <w:highlight w:val="none"/>
        </w:rPr>
        <w:t>磋商文件的所有内容（包括澄清，以及所有已提供的参考资料和有关附件），并完全理解上述文件所表达的意思，该项目提交响应文件时间截止后，我方承诺不再对上述文件内容进行询问或质疑。</w:t>
      </w:r>
    </w:p>
    <w:p>
      <w:pPr>
        <w:pStyle w:val="26"/>
        <w:spacing w:line="360" w:lineRule="auto"/>
        <w:rPr>
          <w:rFonts w:hAnsi="宋体"/>
          <w:color w:val="auto"/>
          <w:highlight w:val="none"/>
        </w:rPr>
      </w:pPr>
    </w:p>
    <w:p>
      <w:pPr>
        <w:pStyle w:val="26"/>
        <w:spacing w:line="360" w:lineRule="auto"/>
        <w:ind w:firstLine="420" w:firstLineChars="200"/>
        <w:rPr>
          <w:rFonts w:hAnsi="宋体"/>
          <w:color w:val="auto"/>
          <w:highlight w:val="none"/>
        </w:rPr>
      </w:pPr>
      <w:r>
        <w:rPr>
          <w:rFonts w:hint="eastAsia" w:hAnsi="宋体"/>
          <w:color w:val="auto"/>
          <w:highlight w:val="none"/>
        </w:rPr>
        <w:t>特此承诺！</w:t>
      </w:r>
    </w:p>
    <w:p>
      <w:pPr>
        <w:pStyle w:val="26"/>
        <w:spacing w:line="360" w:lineRule="auto"/>
        <w:rPr>
          <w:rFonts w:hAnsi="宋体"/>
          <w:color w:val="auto"/>
          <w:highlight w:val="none"/>
        </w:rPr>
      </w:pPr>
    </w:p>
    <w:p>
      <w:pPr>
        <w:pStyle w:val="26"/>
        <w:spacing w:line="360" w:lineRule="auto"/>
        <w:rPr>
          <w:rFonts w:hAnsi="宋体"/>
          <w:color w:val="auto"/>
          <w:highlight w:val="none"/>
        </w:rPr>
      </w:pPr>
    </w:p>
    <w:p>
      <w:pPr>
        <w:snapToGrid w:val="0"/>
        <w:spacing w:line="360" w:lineRule="auto"/>
        <w:rPr>
          <w:rFonts w:hAnsi="宋体"/>
          <w:color w:val="auto"/>
          <w:sz w:val="21"/>
          <w:szCs w:val="21"/>
          <w:highlight w:val="none"/>
        </w:rPr>
      </w:pPr>
      <w:r>
        <w:rPr>
          <w:rFonts w:hint="eastAsia" w:hAnsi="宋体"/>
          <w:color w:val="auto"/>
          <w:sz w:val="21"/>
          <w:szCs w:val="21"/>
          <w:highlight w:val="none"/>
        </w:rPr>
        <w:t>供应商法定代表人（或法定代表人授权代表）签字或盖章：</w:t>
      </w:r>
    </w:p>
    <w:p>
      <w:pPr>
        <w:snapToGrid w:val="0"/>
        <w:spacing w:line="360" w:lineRule="auto"/>
        <w:rPr>
          <w:rFonts w:hAnsi="宋体"/>
          <w:color w:val="auto"/>
          <w:sz w:val="21"/>
          <w:szCs w:val="21"/>
          <w:highlight w:val="none"/>
          <w:u w:val="single"/>
        </w:rPr>
      </w:pPr>
      <w:r>
        <w:rPr>
          <w:rFonts w:hint="eastAsia" w:hAnsi="宋体"/>
          <w:color w:val="auto"/>
          <w:sz w:val="21"/>
          <w:szCs w:val="21"/>
          <w:highlight w:val="none"/>
        </w:rPr>
        <w:t>供应商名称（加盖公章）：</w:t>
      </w:r>
    </w:p>
    <w:p>
      <w:pPr>
        <w:snapToGrid w:val="0"/>
        <w:spacing w:line="360" w:lineRule="auto"/>
        <w:rPr>
          <w:rFonts w:hAnsi="宋体"/>
          <w:color w:val="auto"/>
          <w:sz w:val="21"/>
          <w:szCs w:val="21"/>
          <w:highlight w:val="none"/>
        </w:rPr>
      </w:pPr>
      <w:r>
        <w:rPr>
          <w:rFonts w:hint="eastAsia" w:hAnsi="宋体"/>
          <w:color w:val="auto"/>
          <w:sz w:val="21"/>
          <w:szCs w:val="21"/>
          <w:highlight w:val="none"/>
        </w:rPr>
        <w:t xml:space="preserve">日期： </w:t>
      </w:r>
    </w:p>
    <w:p>
      <w:pPr>
        <w:spacing w:line="360" w:lineRule="auto"/>
        <w:jc w:val="center"/>
        <w:rPr>
          <w:rFonts w:hAnsi="宋体"/>
          <w:b/>
          <w:color w:val="auto"/>
          <w:sz w:val="28"/>
          <w:szCs w:val="28"/>
          <w:highlight w:val="none"/>
        </w:rPr>
      </w:pPr>
      <w:bookmarkStart w:id="129" w:name="_Toc10548704"/>
    </w:p>
    <w:p>
      <w:pPr>
        <w:spacing w:line="360" w:lineRule="auto"/>
        <w:jc w:val="center"/>
        <w:rPr>
          <w:rFonts w:hAnsi="宋体"/>
          <w:b/>
          <w:color w:val="auto"/>
          <w:sz w:val="28"/>
          <w:szCs w:val="28"/>
          <w:highlight w:val="none"/>
        </w:rPr>
      </w:pPr>
    </w:p>
    <w:p>
      <w:pPr>
        <w:pStyle w:val="4"/>
        <w:pageBreakBefore/>
        <w:numPr>
          <w:ilvl w:val="0"/>
          <w:numId w:val="28"/>
        </w:numPr>
        <w:spacing w:line="360" w:lineRule="auto"/>
        <w:jc w:val="center"/>
        <w:rPr>
          <w:rFonts w:hAnsi="宋体"/>
          <w:b/>
          <w:color w:val="auto"/>
          <w:highlight w:val="none"/>
        </w:rPr>
      </w:pPr>
      <w:bookmarkStart w:id="130" w:name="_Toc26363"/>
      <w:r>
        <w:rPr>
          <w:rFonts w:hint="eastAsia" w:hAnsi="宋体"/>
          <w:b/>
          <w:color w:val="auto"/>
          <w:highlight w:val="none"/>
        </w:rPr>
        <w:t>供应商基本情况</w:t>
      </w:r>
      <w:bookmarkEnd w:id="130"/>
    </w:p>
    <w:p>
      <w:pPr>
        <w:spacing w:before="120" w:beforeLines="50" w:after="120" w:afterLines="50" w:line="360" w:lineRule="auto"/>
        <w:rPr>
          <w:rFonts w:hAnsi="宋体" w:cs="Arial"/>
          <w:color w:val="auto"/>
          <w:sz w:val="21"/>
          <w:szCs w:val="21"/>
          <w:highlight w:val="none"/>
        </w:rPr>
      </w:pPr>
    </w:p>
    <w:p>
      <w:pPr>
        <w:spacing w:before="120" w:beforeLines="50" w:after="120" w:afterLines="50" w:line="360" w:lineRule="auto"/>
        <w:rPr>
          <w:rFonts w:hAnsi="宋体" w:cs="Arial"/>
          <w:color w:val="auto"/>
          <w:sz w:val="21"/>
          <w:szCs w:val="21"/>
          <w:highlight w:val="none"/>
        </w:rPr>
      </w:pPr>
      <w:r>
        <w:rPr>
          <w:rFonts w:hAnsi="宋体" w:cs="Arial"/>
          <w:color w:val="auto"/>
          <w:sz w:val="21"/>
          <w:szCs w:val="21"/>
          <w:highlight w:val="none"/>
        </w:rPr>
        <w:t>1</w:t>
      </w:r>
      <w:r>
        <w:rPr>
          <w:rFonts w:hint="eastAsia" w:hAnsi="宋体" w:cs="Arial"/>
          <w:color w:val="auto"/>
          <w:sz w:val="21"/>
          <w:szCs w:val="21"/>
          <w:highlight w:val="none"/>
        </w:rPr>
        <w:t>、公司名称：</w:t>
      </w:r>
      <w:r>
        <w:rPr>
          <w:rFonts w:hAnsi="宋体" w:cs="Arial"/>
          <w:color w:val="auto"/>
          <w:sz w:val="21"/>
          <w:szCs w:val="21"/>
          <w:highlight w:val="none"/>
          <w:u w:val="single"/>
        </w:rPr>
        <w:t xml:space="preserve">             </w:t>
      </w:r>
      <w:r>
        <w:rPr>
          <w:rFonts w:hint="eastAsia" w:hAnsi="宋体" w:cs="Arial"/>
          <w:color w:val="auto"/>
          <w:sz w:val="21"/>
          <w:szCs w:val="21"/>
          <w:highlight w:val="none"/>
          <w:u w:val="single"/>
        </w:rPr>
        <w:t xml:space="preserve">    </w:t>
      </w:r>
      <w:r>
        <w:rPr>
          <w:rFonts w:hAnsi="宋体" w:cs="Arial"/>
          <w:color w:val="auto"/>
          <w:sz w:val="21"/>
          <w:szCs w:val="21"/>
          <w:highlight w:val="none"/>
          <w:u w:val="single"/>
        </w:rPr>
        <w:t xml:space="preserve">   </w:t>
      </w:r>
      <w:r>
        <w:rPr>
          <w:rFonts w:hAnsi="宋体" w:cs="Arial"/>
          <w:color w:val="auto"/>
          <w:sz w:val="21"/>
          <w:szCs w:val="21"/>
          <w:highlight w:val="none"/>
        </w:rPr>
        <w:t xml:space="preserve">  </w:t>
      </w:r>
      <w:r>
        <w:rPr>
          <w:rFonts w:hint="eastAsia" w:hAnsi="宋体" w:cs="Arial"/>
          <w:color w:val="auto"/>
          <w:sz w:val="21"/>
          <w:szCs w:val="21"/>
          <w:highlight w:val="none"/>
        </w:rPr>
        <w:t xml:space="preserve">   电话号码：</w:t>
      </w:r>
      <w:r>
        <w:rPr>
          <w:rFonts w:hAnsi="宋体" w:cs="Arial"/>
          <w:color w:val="auto"/>
          <w:sz w:val="21"/>
          <w:szCs w:val="21"/>
          <w:highlight w:val="none"/>
          <w:u w:val="single"/>
        </w:rPr>
        <w:t xml:space="preserve">    </w:t>
      </w:r>
      <w:r>
        <w:rPr>
          <w:rFonts w:hint="eastAsia" w:hAnsi="宋体" w:cs="Arial"/>
          <w:color w:val="auto"/>
          <w:sz w:val="21"/>
          <w:szCs w:val="21"/>
          <w:highlight w:val="none"/>
          <w:u w:val="single"/>
        </w:rPr>
        <w:t xml:space="preserve">       </w:t>
      </w:r>
      <w:r>
        <w:rPr>
          <w:rFonts w:hAnsi="宋体" w:cs="Arial"/>
          <w:color w:val="auto"/>
          <w:sz w:val="21"/>
          <w:szCs w:val="21"/>
          <w:highlight w:val="none"/>
          <w:u w:val="single"/>
        </w:rPr>
        <w:t xml:space="preserve">   </w:t>
      </w:r>
      <w:r>
        <w:rPr>
          <w:rFonts w:hint="eastAsia" w:hAnsi="宋体" w:cs="Arial"/>
          <w:color w:val="auto"/>
          <w:sz w:val="21"/>
          <w:szCs w:val="21"/>
          <w:highlight w:val="none"/>
          <w:u w:val="single"/>
        </w:rPr>
        <w:t xml:space="preserve"> </w:t>
      </w:r>
      <w:r>
        <w:rPr>
          <w:rFonts w:hAnsi="宋体" w:cs="Arial"/>
          <w:color w:val="auto"/>
          <w:sz w:val="21"/>
          <w:szCs w:val="21"/>
          <w:highlight w:val="none"/>
          <w:u w:val="single"/>
        </w:rPr>
        <w:t xml:space="preserve">   </w:t>
      </w:r>
    </w:p>
    <w:p>
      <w:pPr>
        <w:spacing w:before="120" w:beforeLines="50" w:after="120" w:afterLines="50" w:line="360" w:lineRule="auto"/>
        <w:rPr>
          <w:rFonts w:hAnsi="宋体" w:cs="Arial"/>
          <w:color w:val="auto"/>
          <w:sz w:val="21"/>
          <w:szCs w:val="21"/>
          <w:highlight w:val="none"/>
        </w:rPr>
      </w:pPr>
      <w:r>
        <w:rPr>
          <w:rFonts w:hAnsi="宋体" w:cs="Arial"/>
          <w:color w:val="auto"/>
          <w:sz w:val="21"/>
          <w:szCs w:val="21"/>
          <w:highlight w:val="none"/>
        </w:rPr>
        <w:t>2</w:t>
      </w:r>
      <w:r>
        <w:rPr>
          <w:rFonts w:hint="eastAsia" w:hAnsi="宋体" w:cs="Arial"/>
          <w:color w:val="auto"/>
          <w:sz w:val="21"/>
          <w:szCs w:val="21"/>
          <w:highlight w:val="none"/>
        </w:rPr>
        <w:t>、地</w:t>
      </w:r>
      <w:r>
        <w:rPr>
          <w:rFonts w:hAnsi="宋体" w:cs="Arial"/>
          <w:color w:val="auto"/>
          <w:sz w:val="21"/>
          <w:szCs w:val="21"/>
          <w:highlight w:val="none"/>
        </w:rPr>
        <w:t xml:space="preserve">    </w:t>
      </w:r>
      <w:r>
        <w:rPr>
          <w:rFonts w:hint="eastAsia" w:hAnsi="宋体" w:cs="Arial"/>
          <w:color w:val="auto"/>
          <w:sz w:val="21"/>
          <w:szCs w:val="21"/>
          <w:highlight w:val="none"/>
        </w:rPr>
        <w:t>址：</w:t>
      </w:r>
      <w:r>
        <w:rPr>
          <w:rFonts w:hAnsi="宋体" w:cs="Arial"/>
          <w:color w:val="auto"/>
          <w:sz w:val="21"/>
          <w:szCs w:val="21"/>
          <w:highlight w:val="none"/>
          <w:u w:val="single"/>
        </w:rPr>
        <w:t xml:space="preserve">             </w:t>
      </w:r>
      <w:r>
        <w:rPr>
          <w:rFonts w:hint="eastAsia" w:hAnsi="宋体" w:cs="Arial"/>
          <w:color w:val="auto"/>
          <w:sz w:val="21"/>
          <w:szCs w:val="21"/>
          <w:highlight w:val="none"/>
          <w:u w:val="single"/>
        </w:rPr>
        <w:t xml:space="preserve">    </w:t>
      </w:r>
      <w:r>
        <w:rPr>
          <w:rFonts w:hAnsi="宋体" w:cs="Arial"/>
          <w:color w:val="auto"/>
          <w:sz w:val="21"/>
          <w:szCs w:val="21"/>
          <w:highlight w:val="none"/>
          <w:u w:val="single"/>
        </w:rPr>
        <w:t xml:space="preserve">   </w:t>
      </w:r>
      <w:r>
        <w:rPr>
          <w:rFonts w:hAnsi="宋体" w:cs="Arial"/>
          <w:color w:val="auto"/>
          <w:sz w:val="21"/>
          <w:szCs w:val="21"/>
          <w:highlight w:val="none"/>
        </w:rPr>
        <w:t xml:space="preserve">  </w:t>
      </w:r>
      <w:r>
        <w:rPr>
          <w:rFonts w:hint="eastAsia" w:hAnsi="宋体" w:cs="Arial"/>
          <w:color w:val="auto"/>
          <w:sz w:val="21"/>
          <w:szCs w:val="21"/>
          <w:highlight w:val="none"/>
        </w:rPr>
        <w:t xml:space="preserve">   传</w:t>
      </w:r>
      <w:r>
        <w:rPr>
          <w:rFonts w:hAnsi="宋体" w:cs="Arial"/>
          <w:color w:val="auto"/>
          <w:sz w:val="21"/>
          <w:szCs w:val="21"/>
          <w:highlight w:val="none"/>
        </w:rPr>
        <w:t xml:space="preserve">    </w:t>
      </w:r>
      <w:r>
        <w:rPr>
          <w:rFonts w:hint="eastAsia" w:hAnsi="宋体" w:cs="Arial"/>
          <w:color w:val="auto"/>
          <w:sz w:val="21"/>
          <w:szCs w:val="21"/>
          <w:highlight w:val="none"/>
        </w:rPr>
        <w:t>真：</w:t>
      </w:r>
      <w:r>
        <w:rPr>
          <w:rFonts w:hAnsi="宋体" w:cs="Arial"/>
          <w:color w:val="auto"/>
          <w:sz w:val="21"/>
          <w:szCs w:val="21"/>
          <w:highlight w:val="none"/>
          <w:u w:val="single"/>
        </w:rPr>
        <w:t xml:space="preserve">      </w:t>
      </w:r>
      <w:r>
        <w:rPr>
          <w:rFonts w:hint="eastAsia" w:hAnsi="宋体" w:cs="Arial"/>
          <w:color w:val="auto"/>
          <w:sz w:val="21"/>
          <w:szCs w:val="21"/>
          <w:highlight w:val="none"/>
          <w:u w:val="single"/>
        </w:rPr>
        <w:t xml:space="preserve">       </w:t>
      </w:r>
      <w:r>
        <w:rPr>
          <w:rFonts w:hAnsi="宋体" w:cs="Arial"/>
          <w:color w:val="auto"/>
          <w:sz w:val="21"/>
          <w:szCs w:val="21"/>
          <w:highlight w:val="none"/>
          <w:u w:val="single"/>
        </w:rPr>
        <w:t xml:space="preserve">     </w:t>
      </w:r>
    </w:p>
    <w:p>
      <w:pPr>
        <w:spacing w:before="120" w:beforeLines="50" w:after="120" w:afterLines="50" w:line="360" w:lineRule="auto"/>
        <w:rPr>
          <w:rFonts w:hAnsi="宋体" w:cs="Arial"/>
          <w:color w:val="auto"/>
          <w:sz w:val="21"/>
          <w:szCs w:val="21"/>
          <w:highlight w:val="none"/>
          <w:u w:val="single"/>
        </w:rPr>
      </w:pPr>
      <w:r>
        <w:rPr>
          <w:rFonts w:hAnsi="宋体" w:cs="Arial"/>
          <w:color w:val="auto"/>
          <w:sz w:val="21"/>
          <w:szCs w:val="21"/>
          <w:highlight w:val="none"/>
        </w:rPr>
        <w:t>3</w:t>
      </w:r>
      <w:r>
        <w:rPr>
          <w:rFonts w:hint="eastAsia" w:hAnsi="宋体" w:cs="Arial"/>
          <w:color w:val="auto"/>
          <w:sz w:val="21"/>
          <w:szCs w:val="21"/>
          <w:highlight w:val="none"/>
        </w:rPr>
        <w:t>、注册资金：</w:t>
      </w:r>
      <w:r>
        <w:rPr>
          <w:rFonts w:hAnsi="宋体" w:cs="Arial"/>
          <w:color w:val="auto"/>
          <w:sz w:val="21"/>
          <w:szCs w:val="21"/>
          <w:highlight w:val="none"/>
          <w:u w:val="single"/>
        </w:rPr>
        <w:t xml:space="preserve">             </w:t>
      </w:r>
      <w:r>
        <w:rPr>
          <w:rFonts w:hint="eastAsia" w:hAnsi="宋体" w:cs="Arial"/>
          <w:color w:val="auto"/>
          <w:sz w:val="21"/>
          <w:szCs w:val="21"/>
          <w:highlight w:val="none"/>
          <w:u w:val="single"/>
        </w:rPr>
        <w:t xml:space="preserve">    </w:t>
      </w:r>
      <w:r>
        <w:rPr>
          <w:rFonts w:hAnsi="宋体" w:cs="Arial"/>
          <w:color w:val="auto"/>
          <w:sz w:val="21"/>
          <w:szCs w:val="21"/>
          <w:highlight w:val="none"/>
          <w:u w:val="single"/>
        </w:rPr>
        <w:t xml:space="preserve">   </w:t>
      </w:r>
      <w:r>
        <w:rPr>
          <w:rFonts w:hAnsi="宋体" w:cs="Arial"/>
          <w:color w:val="auto"/>
          <w:sz w:val="21"/>
          <w:szCs w:val="21"/>
          <w:highlight w:val="none"/>
        </w:rPr>
        <w:t xml:space="preserve">  </w:t>
      </w:r>
      <w:r>
        <w:rPr>
          <w:rFonts w:hint="eastAsia" w:hAnsi="宋体" w:cs="Arial"/>
          <w:color w:val="auto"/>
          <w:sz w:val="21"/>
          <w:szCs w:val="21"/>
          <w:highlight w:val="none"/>
        </w:rPr>
        <w:t xml:space="preserve">   企业类型：</w:t>
      </w:r>
      <w:r>
        <w:rPr>
          <w:rFonts w:hAnsi="宋体" w:cs="Arial"/>
          <w:color w:val="auto"/>
          <w:sz w:val="21"/>
          <w:szCs w:val="21"/>
          <w:highlight w:val="none"/>
          <w:u w:val="single"/>
        </w:rPr>
        <w:t xml:space="preserve">       </w:t>
      </w:r>
      <w:r>
        <w:rPr>
          <w:rFonts w:hint="eastAsia" w:hAnsi="宋体" w:cs="Arial"/>
          <w:color w:val="auto"/>
          <w:sz w:val="21"/>
          <w:szCs w:val="21"/>
          <w:highlight w:val="none"/>
          <w:u w:val="single"/>
        </w:rPr>
        <w:t xml:space="preserve">        </w:t>
      </w:r>
      <w:r>
        <w:rPr>
          <w:rFonts w:hAnsi="宋体" w:cs="Arial"/>
          <w:color w:val="auto"/>
          <w:sz w:val="21"/>
          <w:szCs w:val="21"/>
          <w:highlight w:val="none"/>
          <w:u w:val="single"/>
        </w:rPr>
        <w:t xml:space="preserve">   </w:t>
      </w:r>
    </w:p>
    <w:p>
      <w:pPr>
        <w:spacing w:before="120" w:beforeLines="50" w:after="120" w:afterLines="50" w:line="360" w:lineRule="auto"/>
        <w:rPr>
          <w:rFonts w:hAnsi="宋体" w:cs="Arial"/>
          <w:color w:val="auto"/>
          <w:sz w:val="21"/>
          <w:szCs w:val="21"/>
          <w:highlight w:val="none"/>
        </w:rPr>
      </w:pPr>
      <w:r>
        <w:rPr>
          <w:rFonts w:hint="eastAsia" w:hAnsi="宋体" w:cs="Arial"/>
          <w:color w:val="auto"/>
          <w:sz w:val="21"/>
          <w:szCs w:val="21"/>
          <w:highlight w:val="none"/>
        </w:rPr>
        <w:t>4、开户名称：</w:t>
      </w:r>
      <w:r>
        <w:rPr>
          <w:rFonts w:hint="eastAsia" w:hAnsi="宋体" w:cs="Arial"/>
          <w:color w:val="auto"/>
          <w:sz w:val="21"/>
          <w:szCs w:val="21"/>
          <w:highlight w:val="none"/>
          <w:u w:val="single"/>
        </w:rPr>
        <w:t xml:space="preserve">               </w:t>
      </w:r>
      <w:r>
        <w:rPr>
          <w:rFonts w:hint="eastAsia" w:hAnsi="宋体" w:cs="Arial"/>
          <w:color w:val="auto"/>
          <w:sz w:val="21"/>
          <w:szCs w:val="21"/>
          <w:highlight w:val="none"/>
        </w:rPr>
        <w:t>开户银行：</w:t>
      </w:r>
      <w:r>
        <w:rPr>
          <w:rFonts w:hAnsi="宋体" w:cs="Arial"/>
          <w:color w:val="auto"/>
          <w:sz w:val="21"/>
          <w:szCs w:val="21"/>
          <w:highlight w:val="none"/>
          <w:u w:val="single"/>
        </w:rPr>
        <w:t xml:space="preserve">        </w:t>
      </w:r>
      <w:r>
        <w:rPr>
          <w:rFonts w:hint="eastAsia" w:hAnsi="宋体" w:cs="Arial"/>
          <w:color w:val="auto"/>
          <w:sz w:val="21"/>
          <w:szCs w:val="21"/>
          <w:highlight w:val="none"/>
          <w:u w:val="single"/>
        </w:rPr>
        <w:t xml:space="preserve">       </w:t>
      </w:r>
      <w:r>
        <w:rPr>
          <w:rFonts w:hAnsi="宋体" w:cs="Arial"/>
          <w:color w:val="auto"/>
          <w:sz w:val="21"/>
          <w:szCs w:val="21"/>
          <w:highlight w:val="none"/>
          <w:u w:val="single"/>
        </w:rPr>
        <w:t xml:space="preserve"> </w:t>
      </w:r>
      <w:r>
        <w:rPr>
          <w:rFonts w:hint="eastAsia" w:hAnsi="宋体" w:cs="Arial"/>
          <w:color w:val="auto"/>
          <w:sz w:val="21"/>
          <w:szCs w:val="21"/>
          <w:highlight w:val="none"/>
        </w:rPr>
        <w:t>银行账号：</w:t>
      </w:r>
      <w:r>
        <w:rPr>
          <w:rFonts w:hAnsi="宋体" w:cs="Arial"/>
          <w:color w:val="auto"/>
          <w:sz w:val="21"/>
          <w:szCs w:val="21"/>
          <w:highlight w:val="none"/>
          <w:u w:val="single"/>
        </w:rPr>
        <w:t xml:space="preserve">           </w:t>
      </w:r>
    </w:p>
    <w:p>
      <w:pPr>
        <w:spacing w:before="120" w:beforeLines="50" w:after="120" w:afterLines="50" w:line="360" w:lineRule="auto"/>
        <w:rPr>
          <w:rFonts w:hAnsi="宋体" w:cs="Arial"/>
          <w:color w:val="auto"/>
          <w:sz w:val="21"/>
          <w:szCs w:val="21"/>
          <w:highlight w:val="none"/>
        </w:rPr>
      </w:pPr>
      <w:r>
        <w:rPr>
          <w:rFonts w:hint="eastAsia" w:hAnsi="宋体" w:cs="Arial"/>
          <w:color w:val="auto"/>
          <w:sz w:val="21"/>
          <w:szCs w:val="21"/>
          <w:highlight w:val="none"/>
        </w:rPr>
        <w:t>5、公司简介</w:t>
      </w:r>
    </w:p>
    <w:p>
      <w:pPr>
        <w:spacing w:before="120" w:beforeLines="50" w:after="120" w:afterLines="50" w:line="360" w:lineRule="auto"/>
        <w:ind w:left="360" w:leftChars="150"/>
        <w:rPr>
          <w:rFonts w:hAnsi="宋体" w:cs="Arial"/>
          <w:color w:val="auto"/>
          <w:sz w:val="21"/>
          <w:szCs w:val="21"/>
          <w:highlight w:val="none"/>
        </w:rPr>
      </w:pPr>
      <w:r>
        <w:rPr>
          <w:rFonts w:hint="eastAsia" w:hAnsi="宋体" w:cs="Arial"/>
          <w:color w:val="auto"/>
          <w:sz w:val="21"/>
          <w:szCs w:val="21"/>
          <w:highlight w:val="none"/>
        </w:rPr>
        <w:t>（自行描述）</w:t>
      </w:r>
    </w:p>
    <w:p>
      <w:pPr>
        <w:spacing w:before="120" w:beforeLines="50" w:after="120" w:afterLines="50" w:line="360" w:lineRule="auto"/>
        <w:rPr>
          <w:rFonts w:hAnsi="宋体" w:cs="Arial"/>
          <w:color w:val="auto"/>
          <w:sz w:val="21"/>
          <w:szCs w:val="21"/>
          <w:highlight w:val="none"/>
        </w:rPr>
      </w:pPr>
      <w:r>
        <w:rPr>
          <w:rFonts w:hint="eastAsia" w:hAnsi="宋体" w:cs="Arial"/>
          <w:color w:val="auto"/>
          <w:sz w:val="21"/>
          <w:szCs w:val="21"/>
          <w:highlight w:val="none"/>
        </w:rPr>
        <w:t>6、公司近三年财务情况</w:t>
      </w:r>
    </w:p>
    <w:tbl>
      <w:tblPr>
        <w:tblStyle w:val="48"/>
        <w:tblW w:w="5000" w:type="pct"/>
        <w:tblInd w:w="0" w:type="dxa"/>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73"/>
        <w:gridCol w:w="1945"/>
        <w:gridCol w:w="1947"/>
        <w:gridCol w:w="2189"/>
        <w:gridCol w:w="2189"/>
      </w:tblGrid>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335" w:hRule="atLeast"/>
        </w:trPr>
        <w:tc>
          <w:tcPr>
            <w:tcW w:w="527" w:type="pct"/>
            <w:tcBorders>
              <w:top w:val="single" w:color="auto" w:sz="4" w:space="0"/>
              <w:left w:val="single" w:color="auto" w:sz="4" w:space="0"/>
              <w:bottom w:val="single" w:color="auto" w:sz="4" w:space="0"/>
            </w:tcBorders>
            <w:vAlign w:val="center"/>
          </w:tcPr>
          <w:p>
            <w:pPr>
              <w:pStyle w:val="159"/>
              <w:spacing w:line="360" w:lineRule="auto"/>
              <w:jc w:val="center"/>
              <w:rPr>
                <w:rFonts w:ascii="宋体" w:hAnsi="宋体" w:cs="Arial"/>
                <w:color w:val="auto"/>
                <w:szCs w:val="21"/>
                <w:highlight w:val="none"/>
              </w:rPr>
            </w:pPr>
            <w:r>
              <w:rPr>
                <w:rFonts w:hint="eastAsia" w:hAnsi="宋体" w:cs="Arial"/>
                <w:color w:val="auto"/>
                <w:szCs w:val="21"/>
                <w:highlight w:val="none"/>
              </w:rPr>
              <w:t>年  度</w:t>
            </w:r>
          </w:p>
        </w:tc>
        <w:tc>
          <w:tcPr>
            <w:tcW w:w="1052" w:type="pct"/>
            <w:tcBorders>
              <w:top w:val="single" w:color="auto" w:sz="4" w:space="0"/>
              <w:left w:val="single" w:color="auto" w:sz="4" w:space="0"/>
              <w:bottom w:val="single" w:color="auto" w:sz="4" w:space="0"/>
            </w:tcBorders>
            <w:vAlign w:val="center"/>
          </w:tcPr>
          <w:p>
            <w:pPr>
              <w:pStyle w:val="159"/>
              <w:spacing w:line="360" w:lineRule="auto"/>
              <w:jc w:val="center"/>
              <w:rPr>
                <w:rFonts w:ascii="宋体" w:hAnsi="宋体" w:cs="Arial"/>
                <w:color w:val="auto"/>
                <w:szCs w:val="21"/>
                <w:highlight w:val="none"/>
              </w:rPr>
            </w:pPr>
            <w:r>
              <w:rPr>
                <w:rFonts w:hint="eastAsia" w:hAnsi="宋体" w:cs="Arial"/>
                <w:color w:val="auto"/>
                <w:szCs w:val="21"/>
                <w:highlight w:val="none"/>
              </w:rPr>
              <w:t>总资产（万元）</w:t>
            </w:r>
          </w:p>
        </w:tc>
        <w:tc>
          <w:tcPr>
            <w:tcW w:w="1052" w:type="pct"/>
            <w:tcBorders>
              <w:top w:val="single" w:color="auto" w:sz="4" w:space="0"/>
              <w:bottom w:val="single" w:color="auto" w:sz="4" w:space="0"/>
            </w:tcBorders>
            <w:vAlign w:val="center"/>
          </w:tcPr>
          <w:p>
            <w:pPr>
              <w:pStyle w:val="159"/>
              <w:spacing w:line="360" w:lineRule="auto"/>
              <w:jc w:val="center"/>
              <w:rPr>
                <w:rFonts w:ascii="宋体" w:hAnsi="宋体" w:cs="Arial"/>
                <w:color w:val="auto"/>
                <w:szCs w:val="21"/>
                <w:highlight w:val="none"/>
              </w:rPr>
            </w:pPr>
            <w:r>
              <w:rPr>
                <w:rFonts w:hint="eastAsia" w:hAnsi="宋体" w:cs="Arial"/>
                <w:color w:val="auto"/>
                <w:szCs w:val="21"/>
                <w:highlight w:val="none"/>
              </w:rPr>
              <w:t>净资产（万元）</w:t>
            </w:r>
          </w:p>
        </w:tc>
        <w:tc>
          <w:tcPr>
            <w:tcW w:w="1184" w:type="pct"/>
            <w:tcBorders>
              <w:top w:val="single" w:color="auto" w:sz="4" w:space="0"/>
              <w:bottom w:val="single" w:color="auto" w:sz="4" w:space="0"/>
            </w:tcBorders>
            <w:vAlign w:val="center"/>
          </w:tcPr>
          <w:p>
            <w:pPr>
              <w:pStyle w:val="159"/>
              <w:spacing w:line="360" w:lineRule="auto"/>
              <w:jc w:val="center"/>
              <w:rPr>
                <w:rFonts w:ascii="宋体" w:hAnsi="宋体" w:cs="Arial"/>
                <w:color w:val="auto"/>
                <w:szCs w:val="21"/>
                <w:highlight w:val="none"/>
              </w:rPr>
            </w:pPr>
            <w:r>
              <w:rPr>
                <w:rFonts w:hint="eastAsia" w:hAnsi="宋体" w:cs="Arial"/>
                <w:color w:val="auto"/>
                <w:szCs w:val="21"/>
                <w:highlight w:val="none"/>
              </w:rPr>
              <w:t>年营业额（万元）</w:t>
            </w:r>
          </w:p>
        </w:tc>
        <w:tc>
          <w:tcPr>
            <w:tcW w:w="1184" w:type="pct"/>
            <w:tcBorders>
              <w:top w:val="single" w:color="auto" w:sz="4" w:space="0"/>
              <w:bottom w:val="single" w:color="auto" w:sz="4" w:space="0"/>
              <w:right w:val="single" w:color="auto" w:sz="4" w:space="0"/>
            </w:tcBorders>
            <w:vAlign w:val="center"/>
          </w:tcPr>
          <w:p>
            <w:pPr>
              <w:pStyle w:val="159"/>
              <w:spacing w:line="360" w:lineRule="auto"/>
              <w:jc w:val="center"/>
              <w:rPr>
                <w:rFonts w:ascii="宋体" w:hAnsi="宋体" w:cs="Arial"/>
                <w:color w:val="auto"/>
                <w:szCs w:val="21"/>
                <w:highlight w:val="none"/>
              </w:rPr>
            </w:pPr>
            <w:r>
              <w:rPr>
                <w:rFonts w:hint="eastAsia" w:hAnsi="宋体" w:cs="Arial"/>
                <w:color w:val="auto"/>
                <w:szCs w:val="21"/>
                <w:highlight w:val="none"/>
              </w:rPr>
              <w:t>年净利润（万元）</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c>
          <w:tcPr>
            <w:tcW w:w="527" w:type="pct"/>
            <w:tcBorders>
              <w:top w:val="single" w:color="auto" w:sz="4" w:space="0"/>
              <w:left w:val="single" w:color="auto" w:sz="4" w:space="0"/>
            </w:tcBorders>
          </w:tcPr>
          <w:p>
            <w:pPr>
              <w:pStyle w:val="159"/>
              <w:spacing w:line="360" w:lineRule="auto"/>
              <w:jc w:val="center"/>
              <w:rPr>
                <w:rFonts w:ascii="宋体" w:hAnsi="宋体" w:cs="Arial"/>
                <w:color w:val="auto"/>
                <w:szCs w:val="21"/>
                <w:highlight w:val="none"/>
              </w:rPr>
            </w:pPr>
          </w:p>
        </w:tc>
        <w:tc>
          <w:tcPr>
            <w:tcW w:w="1052" w:type="pct"/>
            <w:tcBorders>
              <w:top w:val="single" w:color="auto" w:sz="4" w:space="0"/>
              <w:left w:val="single" w:color="auto" w:sz="4" w:space="0"/>
            </w:tcBorders>
          </w:tcPr>
          <w:p>
            <w:pPr>
              <w:pStyle w:val="159"/>
              <w:spacing w:line="360" w:lineRule="auto"/>
              <w:jc w:val="center"/>
              <w:rPr>
                <w:rFonts w:ascii="宋体" w:hAnsi="宋体" w:cs="Arial"/>
                <w:color w:val="auto"/>
                <w:szCs w:val="21"/>
                <w:highlight w:val="none"/>
              </w:rPr>
            </w:pPr>
          </w:p>
        </w:tc>
        <w:tc>
          <w:tcPr>
            <w:tcW w:w="1052" w:type="pct"/>
            <w:tcBorders>
              <w:top w:val="single" w:color="auto" w:sz="4" w:space="0"/>
            </w:tcBorders>
          </w:tcPr>
          <w:p>
            <w:pPr>
              <w:pStyle w:val="159"/>
              <w:spacing w:line="360" w:lineRule="auto"/>
              <w:jc w:val="center"/>
              <w:rPr>
                <w:rFonts w:ascii="宋体" w:hAnsi="宋体" w:cs="Arial"/>
                <w:color w:val="auto"/>
                <w:szCs w:val="21"/>
                <w:highlight w:val="none"/>
              </w:rPr>
            </w:pPr>
          </w:p>
        </w:tc>
        <w:tc>
          <w:tcPr>
            <w:tcW w:w="1184" w:type="pct"/>
            <w:tcBorders>
              <w:top w:val="single" w:color="auto" w:sz="4" w:space="0"/>
            </w:tcBorders>
          </w:tcPr>
          <w:p>
            <w:pPr>
              <w:pStyle w:val="159"/>
              <w:spacing w:line="360" w:lineRule="auto"/>
              <w:jc w:val="center"/>
              <w:rPr>
                <w:rFonts w:ascii="宋体" w:hAnsi="宋体" w:cs="Arial"/>
                <w:color w:val="auto"/>
                <w:szCs w:val="21"/>
                <w:highlight w:val="none"/>
              </w:rPr>
            </w:pPr>
          </w:p>
        </w:tc>
        <w:tc>
          <w:tcPr>
            <w:tcW w:w="1184" w:type="pct"/>
            <w:tcBorders>
              <w:top w:val="single" w:color="auto" w:sz="4" w:space="0"/>
              <w:right w:val="single" w:color="auto" w:sz="4" w:space="0"/>
            </w:tcBorders>
          </w:tcPr>
          <w:p>
            <w:pPr>
              <w:pStyle w:val="159"/>
              <w:spacing w:line="360" w:lineRule="auto"/>
              <w:jc w:val="center"/>
              <w:rPr>
                <w:rFonts w:ascii="宋体" w:hAnsi="宋体" w:cs="Arial"/>
                <w:color w:val="auto"/>
                <w:szCs w:val="21"/>
                <w:highlight w:val="none"/>
              </w:rPr>
            </w:pP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c>
          <w:tcPr>
            <w:tcW w:w="527" w:type="pct"/>
            <w:tcBorders>
              <w:left w:val="single" w:color="auto" w:sz="4" w:space="0"/>
            </w:tcBorders>
          </w:tcPr>
          <w:p>
            <w:pPr>
              <w:pStyle w:val="159"/>
              <w:spacing w:line="360" w:lineRule="auto"/>
              <w:jc w:val="center"/>
              <w:rPr>
                <w:rFonts w:ascii="宋体" w:hAnsi="宋体" w:cs="Arial"/>
                <w:color w:val="auto"/>
                <w:szCs w:val="21"/>
                <w:highlight w:val="none"/>
              </w:rPr>
            </w:pPr>
          </w:p>
        </w:tc>
        <w:tc>
          <w:tcPr>
            <w:tcW w:w="1052" w:type="pct"/>
            <w:tcBorders>
              <w:left w:val="single" w:color="auto" w:sz="4" w:space="0"/>
            </w:tcBorders>
          </w:tcPr>
          <w:p>
            <w:pPr>
              <w:pStyle w:val="159"/>
              <w:spacing w:line="360" w:lineRule="auto"/>
              <w:jc w:val="center"/>
              <w:rPr>
                <w:rFonts w:ascii="宋体" w:hAnsi="宋体" w:cs="Arial"/>
                <w:color w:val="auto"/>
                <w:szCs w:val="21"/>
                <w:highlight w:val="none"/>
              </w:rPr>
            </w:pPr>
          </w:p>
        </w:tc>
        <w:tc>
          <w:tcPr>
            <w:tcW w:w="1052" w:type="pct"/>
          </w:tcPr>
          <w:p>
            <w:pPr>
              <w:pStyle w:val="159"/>
              <w:spacing w:line="360" w:lineRule="auto"/>
              <w:jc w:val="center"/>
              <w:rPr>
                <w:rFonts w:ascii="宋体" w:hAnsi="宋体" w:cs="Arial"/>
                <w:color w:val="auto"/>
                <w:szCs w:val="21"/>
                <w:highlight w:val="none"/>
              </w:rPr>
            </w:pPr>
          </w:p>
        </w:tc>
        <w:tc>
          <w:tcPr>
            <w:tcW w:w="1184" w:type="pct"/>
          </w:tcPr>
          <w:p>
            <w:pPr>
              <w:pStyle w:val="159"/>
              <w:spacing w:line="360" w:lineRule="auto"/>
              <w:jc w:val="center"/>
              <w:rPr>
                <w:rFonts w:ascii="宋体" w:hAnsi="宋体" w:cs="Arial"/>
                <w:color w:val="auto"/>
                <w:szCs w:val="21"/>
                <w:highlight w:val="none"/>
              </w:rPr>
            </w:pPr>
          </w:p>
        </w:tc>
        <w:tc>
          <w:tcPr>
            <w:tcW w:w="1184" w:type="pct"/>
            <w:tcBorders>
              <w:right w:val="single" w:color="auto" w:sz="4" w:space="0"/>
            </w:tcBorders>
          </w:tcPr>
          <w:p>
            <w:pPr>
              <w:pStyle w:val="159"/>
              <w:spacing w:line="360" w:lineRule="auto"/>
              <w:jc w:val="center"/>
              <w:rPr>
                <w:rFonts w:ascii="宋体" w:hAnsi="宋体" w:cs="Arial"/>
                <w:color w:val="auto"/>
                <w:szCs w:val="21"/>
                <w:highlight w:val="none"/>
              </w:rPr>
            </w:pP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c>
          <w:tcPr>
            <w:tcW w:w="527" w:type="pct"/>
            <w:tcBorders>
              <w:left w:val="single" w:color="auto" w:sz="4" w:space="0"/>
            </w:tcBorders>
          </w:tcPr>
          <w:p>
            <w:pPr>
              <w:pStyle w:val="159"/>
              <w:spacing w:line="360" w:lineRule="auto"/>
              <w:jc w:val="center"/>
              <w:rPr>
                <w:rFonts w:ascii="宋体" w:hAnsi="宋体" w:cs="Arial"/>
                <w:color w:val="auto"/>
                <w:szCs w:val="21"/>
                <w:highlight w:val="none"/>
              </w:rPr>
            </w:pPr>
          </w:p>
        </w:tc>
        <w:tc>
          <w:tcPr>
            <w:tcW w:w="1052" w:type="pct"/>
            <w:tcBorders>
              <w:left w:val="single" w:color="auto" w:sz="4" w:space="0"/>
            </w:tcBorders>
          </w:tcPr>
          <w:p>
            <w:pPr>
              <w:pStyle w:val="159"/>
              <w:spacing w:line="360" w:lineRule="auto"/>
              <w:jc w:val="center"/>
              <w:rPr>
                <w:rFonts w:ascii="宋体" w:hAnsi="宋体" w:cs="Arial"/>
                <w:color w:val="auto"/>
                <w:szCs w:val="21"/>
                <w:highlight w:val="none"/>
              </w:rPr>
            </w:pPr>
          </w:p>
        </w:tc>
        <w:tc>
          <w:tcPr>
            <w:tcW w:w="1052" w:type="pct"/>
          </w:tcPr>
          <w:p>
            <w:pPr>
              <w:pStyle w:val="159"/>
              <w:spacing w:line="360" w:lineRule="auto"/>
              <w:jc w:val="center"/>
              <w:rPr>
                <w:rFonts w:ascii="宋体" w:hAnsi="宋体" w:cs="Arial"/>
                <w:color w:val="auto"/>
                <w:szCs w:val="21"/>
                <w:highlight w:val="none"/>
              </w:rPr>
            </w:pPr>
          </w:p>
        </w:tc>
        <w:tc>
          <w:tcPr>
            <w:tcW w:w="1184" w:type="pct"/>
          </w:tcPr>
          <w:p>
            <w:pPr>
              <w:pStyle w:val="159"/>
              <w:spacing w:line="360" w:lineRule="auto"/>
              <w:jc w:val="center"/>
              <w:rPr>
                <w:rFonts w:ascii="宋体" w:hAnsi="宋体" w:cs="Arial"/>
                <w:color w:val="auto"/>
                <w:szCs w:val="21"/>
                <w:highlight w:val="none"/>
              </w:rPr>
            </w:pPr>
          </w:p>
        </w:tc>
        <w:tc>
          <w:tcPr>
            <w:tcW w:w="1184" w:type="pct"/>
            <w:tcBorders>
              <w:right w:val="single" w:color="auto" w:sz="4" w:space="0"/>
            </w:tcBorders>
          </w:tcPr>
          <w:p>
            <w:pPr>
              <w:pStyle w:val="159"/>
              <w:spacing w:line="360" w:lineRule="auto"/>
              <w:jc w:val="center"/>
              <w:rPr>
                <w:rFonts w:ascii="宋体" w:hAnsi="宋体" w:cs="Arial"/>
                <w:color w:val="auto"/>
                <w:szCs w:val="21"/>
                <w:highlight w:val="none"/>
              </w:rPr>
            </w:pP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c>
          <w:tcPr>
            <w:tcW w:w="2632" w:type="pct"/>
            <w:gridSpan w:val="3"/>
            <w:tcBorders>
              <w:left w:val="single" w:color="auto" w:sz="4" w:space="0"/>
            </w:tcBorders>
          </w:tcPr>
          <w:p>
            <w:pPr>
              <w:pStyle w:val="159"/>
              <w:spacing w:line="360" w:lineRule="auto"/>
              <w:jc w:val="center"/>
              <w:rPr>
                <w:rFonts w:ascii="宋体" w:hAnsi="宋体" w:cs="Arial"/>
                <w:color w:val="auto"/>
                <w:szCs w:val="21"/>
                <w:highlight w:val="none"/>
              </w:rPr>
            </w:pPr>
            <w:r>
              <w:rPr>
                <w:rFonts w:hint="eastAsia" w:hAnsi="宋体" w:cs="Arial"/>
                <w:color w:val="auto"/>
                <w:szCs w:val="21"/>
                <w:highlight w:val="none"/>
              </w:rPr>
              <w:t>总计</w:t>
            </w:r>
          </w:p>
        </w:tc>
        <w:tc>
          <w:tcPr>
            <w:tcW w:w="1184" w:type="pct"/>
          </w:tcPr>
          <w:p>
            <w:pPr>
              <w:pStyle w:val="159"/>
              <w:spacing w:line="360" w:lineRule="auto"/>
              <w:jc w:val="center"/>
              <w:rPr>
                <w:rFonts w:ascii="宋体" w:hAnsi="宋体" w:cs="Arial"/>
                <w:color w:val="auto"/>
                <w:szCs w:val="21"/>
                <w:highlight w:val="none"/>
              </w:rPr>
            </w:pPr>
          </w:p>
        </w:tc>
        <w:tc>
          <w:tcPr>
            <w:tcW w:w="1184" w:type="pct"/>
            <w:tcBorders>
              <w:right w:val="single" w:color="auto" w:sz="4" w:space="0"/>
            </w:tcBorders>
          </w:tcPr>
          <w:p>
            <w:pPr>
              <w:pStyle w:val="159"/>
              <w:spacing w:line="360" w:lineRule="auto"/>
              <w:jc w:val="center"/>
              <w:rPr>
                <w:rFonts w:ascii="宋体" w:hAnsi="宋体" w:cs="Arial"/>
                <w:color w:val="auto"/>
                <w:szCs w:val="21"/>
                <w:highlight w:val="none"/>
              </w:rPr>
            </w:pPr>
          </w:p>
        </w:tc>
      </w:tr>
    </w:tbl>
    <w:p>
      <w:pPr>
        <w:spacing w:before="120" w:beforeLines="50" w:after="120" w:afterLines="50" w:line="360" w:lineRule="auto"/>
        <w:rPr>
          <w:rFonts w:hAnsi="宋体" w:cs="Arial"/>
          <w:color w:val="auto"/>
          <w:sz w:val="21"/>
          <w:szCs w:val="21"/>
          <w:highlight w:val="none"/>
        </w:rPr>
      </w:pPr>
      <w:r>
        <w:rPr>
          <w:rFonts w:hAnsi="宋体" w:cs="Arial"/>
          <w:color w:val="auto"/>
          <w:sz w:val="21"/>
          <w:szCs w:val="21"/>
          <w:highlight w:val="none"/>
        </w:rPr>
        <w:t>7</w:t>
      </w:r>
      <w:r>
        <w:rPr>
          <w:rFonts w:hint="eastAsia" w:hAnsi="宋体" w:cs="Arial"/>
          <w:color w:val="auto"/>
          <w:sz w:val="21"/>
          <w:szCs w:val="21"/>
          <w:highlight w:val="none"/>
        </w:rPr>
        <w:t>、公司获得的资质证书、认证证书、获奖证书、荣誉证书等</w:t>
      </w:r>
    </w:p>
    <w:tbl>
      <w:tblPr>
        <w:tblStyle w:val="48"/>
        <w:tblW w:w="5000" w:type="pct"/>
        <w:tblInd w:w="0" w:type="dxa"/>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46"/>
        <w:gridCol w:w="2475"/>
        <w:gridCol w:w="2477"/>
        <w:gridCol w:w="2245"/>
      </w:tblGrid>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335" w:hRule="atLeast"/>
        </w:trPr>
        <w:tc>
          <w:tcPr>
            <w:tcW w:w="1107" w:type="pct"/>
            <w:tcBorders>
              <w:top w:val="single" w:color="auto" w:sz="4" w:space="0"/>
              <w:left w:val="single" w:color="auto" w:sz="4" w:space="0"/>
              <w:bottom w:val="single" w:color="auto" w:sz="4" w:space="0"/>
            </w:tcBorders>
          </w:tcPr>
          <w:p>
            <w:pPr>
              <w:pStyle w:val="159"/>
              <w:spacing w:line="360" w:lineRule="auto"/>
              <w:jc w:val="center"/>
              <w:rPr>
                <w:rFonts w:ascii="宋体" w:hAnsi="宋体" w:cs="Arial"/>
                <w:color w:val="auto"/>
                <w:szCs w:val="21"/>
                <w:highlight w:val="none"/>
              </w:rPr>
            </w:pPr>
            <w:r>
              <w:rPr>
                <w:rFonts w:hint="eastAsia" w:ascii="宋体" w:hAnsi="宋体" w:cs="Arial"/>
                <w:color w:val="auto"/>
                <w:szCs w:val="21"/>
                <w:highlight w:val="none"/>
              </w:rPr>
              <w:t>证书名称</w:t>
            </w:r>
          </w:p>
        </w:tc>
        <w:tc>
          <w:tcPr>
            <w:tcW w:w="1339" w:type="pct"/>
            <w:tcBorders>
              <w:top w:val="single" w:color="auto" w:sz="4" w:space="0"/>
              <w:bottom w:val="single" w:color="auto" w:sz="4" w:space="0"/>
            </w:tcBorders>
          </w:tcPr>
          <w:p>
            <w:pPr>
              <w:pStyle w:val="159"/>
              <w:spacing w:line="360" w:lineRule="auto"/>
              <w:jc w:val="center"/>
              <w:rPr>
                <w:rFonts w:ascii="宋体" w:hAnsi="宋体" w:cs="Arial"/>
                <w:color w:val="auto"/>
                <w:szCs w:val="21"/>
                <w:highlight w:val="none"/>
              </w:rPr>
            </w:pPr>
            <w:r>
              <w:rPr>
                <w:rFonts w:hint="eastAsia" w:ascii="宋体" w:hAnsi="宋体" w:cs="Arial"/>
                <w:color w:val="auto"/>
                <w:szCs w:val="21"/>
                <w:highlight w:val="none"/>
              </w:rPr>
              <w:t>发证单位</w:t>
            </w:r>
          </w:p>
        </w:tc>
        <w:tc>
          <w:tcPr>
            <w:tcW w:w="1340" w:type="pct"/>
            <w:tcBorders>
              <w:top w:val="single" w:color="auto" w:sz="4" w:space="0"/>
              <w:bottom w:val="single" w:color="auto" w:sz="4" w:space="0"/>
            </w:tcBorders>
          </w:tcPr>
          <w:p>
            <w:pPr>
              <w:pStyle w:val="159"/>
              <w:spacing w:line="360" w:lineRule="auto"/>
              <w:jc w:val="center"/>
              <w:rPr>
                <w:rFonts w:ascii="宋体" w:hAnsi="宋体" w:cs="Arial"/>
                <w:color w:val="auto"/>
                <w:szCs w:val="21"/>
                <w:highlight w:val="none"/>
              </w:rPr>
            </w:pPr>
            <w:r>
              <w:rPr>
                <w:rFonts w:hint="eastAsia" w:ascii="宋体" w:hAnsi="宋体" w:cs="Arial"/>
                <w:color w:val="auto"/>
                <w:szCs w:val="21"/>
                <w:highlight w:val="none"/>
              </w:rPr>
              <w:t>证书等级</w:t>
            </w:r>
          </w:p>
        </w:tc>
        <w:tc>
          <w:tcPr>
            <w:tcW w:w="1214" w:type="pct"/>
            <w:tcBorders>
              <w:top w:val="single" w:color="auto" w:sz="4" w:space="0"/>
              <w:bottom w:val="single" w:color="auto" w:sz="4" w:space="0"/>
              <w:right w:val="single" w:color="auto" w:sz="4" w:space="0"/>
            </w:tcBorders>
          </w:tcPr>
          <w:p>
            <w:pPr>
              <w:pStyle w:val="159"/>
              <w:spacing w:line="360" w:lineRule="auto"/>
              <w:jc w:val="center"/>
              <w:rPr>
                <w:rFonts w:ascii="宋体" w:hAnsi="宋体" w:cs="Arial"/>
                <w:color w:val="auto"/>
                <w:szCs w:val="21"/>
                <w:highlight w:val="none"/>
              </w:rPr>
            </w:pPr>
            <w:r>
              <w:rPr>
                <w:rFonts w:hint="eastAsia" w:ascii="宋体" w:hAnsi="宋体" w:cs="Arial"/>
                <w:color w:val="auto"/>
                <w:szCs w:val="21"/>
                <w:highlight w:val="none"/>
              </w:rPr>
              <w:t>证书有效期</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c>
          <w:tcPr>
            <w:tcW w:w="1107" w:type="pct"/>
            <w:tcBorders>
              <w:top w:val="single" w:color="auto" w:sz="4" w:space="0"/>
              <w:left w:val="single" w:color="auto" w:sz="4" w:space="0"/>
            </w:tcBorders>
          </w:tcPr>
          <w:p>
            <w:pPr>
              <w:pStyle w:val="159"/>
              <w:spacing w:line="360" w:lineRule="auto"/>
              <w:jc w:val="center"/>
              <w:rPr>
                <w:rFonts w:ascii="宋体" w:hAnsi="宋体" w:cs="Arial"/>
                <w:color w:val="auto"/>
                <w:szCs w:val="21"/>
                <w:highlight w:val="none"/>
              </w:rPr>
            </w:pPr>
          </w:p>
        </w:tc>
        <w:tc>
          <w:tcPr>
            <w:tcW w:w="1339" w:type="pct"/>
            <w:tcBorders>
              <w:top w:val="single" w:color="auto" w:sz="4" w:space="0"/>
            </w:tcBorders>
          </w:tcPr>
          <w:p>
            <w:pPr>
              <w:pStyle w:val="159"/>
              <w:spacing w:line="360" w:lineRule="auto"/>
              <w:jc w:val="center"/>
              <w:rPr>
                <w:rFonts w:ascii="宋体" w:hAnsi="宋体" w:cs="Arial"/>
                <w:color w:val="auto"/>
                <w:szCs w:val="21"/>
                <w:highlight w:val="none"/>
              </w:rPr>
            </w:pPr>
          </w:p>
        </w:tc>
        <w:tc>
          <w:tcPr>
            <w:tcW w:w="1340" w:type="pct"/>
            <w:tcBorders>
              <w:top w:val="single" w:color="auto" w:sz="4" w:space="0"/>
            </w:tcBorders>
          </w:tcPr>
          <w:p>
            <w:pPr>
              <w:pStyle w:val="159"/>
              <w:spacing w:line="360" w:lineRule="auto"/>
              <w:jc w:val="center"/>
              <w:rPr>
                <w:rFonts w:ascii="宋体" w:hAnsi="宋体" w:cs="Arial"/>
                <w:color w:val="auto"/>
                <w:szCs w:val="21"/>
                <w:highlight w:val="none"/>
              </w:rPr>
            </w:pPr>
          </w:p>
        </w:tc>
        <w:tc>
          <w:tcPr>
            <w:tcW w:w="1214" w:type="pct"/>
            <w:tcBorders>
              <w:top w:val="single" w:color="auto" w:sz="4" w:space="0"/>
              <w:right w:val="single" w:color="auto" w:sz="4" w:space="0"/>
            </w:tcBorders>
          </w:tcPr>
          <w:p>
            <w:pPr>
              <w:pStyle w:val="159"/>
              <w:spacing w:line="360" w:lineRule="auto"/>
              <w:jc w:val="center"/>
              <w:rPr>
                <w:rFonts w:ascii="宋体" w:hAnsi="宋体" w:cs="Arial"/>
                <w:color w:val="auto"/>
                <w:szCs w:val="21"/>
                <w:highlight w:val="none"/>
              </w:rPr>
            </w:pP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c>
          <w:tcPr>
            <w:tcW w:w="1107" w:type="pct"/>
            <w:tcBorders>
              <w:left w:val="single" w:color="auto" w:sz="4" w:space="0"/>
            </w:tcBorders>
          </w:tcPr>
          <w:p>
            <w:pPr>
              <w:pStyle w:val="159"/>
              <w:spacing w:line="360" w:lineRule="auto"/>
              <w:jc w:val="center"/>
              <w:rPr>
                <w:rFonts w:ascii="宋体" w:hAnsi="宋体" w:cs="Arial"/>
                <w:color w:val="auto"/>
                <w:szCs w:val="21"/>
                <w:highlight w:val="none"/>
              </w:rPr>
            </w:pPr>
          </w:p>
        </w:tc>
        <w:tc>
          <w:tcPr>
            <w:tcW w:w="1339" w:type="pct"/>
          </w:tcPr>
          <w:p>
            <w:pPr>
              <w:pStyle w:val="159"/>
              <w:spacing w:line="360" w:lineRule="auto"/>
              <w:jc w:val="center"/>
              <w:rPr>
                <w:rFonts w:ascii="宋体" w:hAnsi="宋体" w:cs="Arial"/>
                <w:color w:val="auto"/>
                <w:szCs w:val="21"/>
                <w:highlight w:val="none"/>
              </w:rPr>
            </w:pPr>
          </w:p>
        </w:tc>
        <w:tc>
          <w:tcPr>
            <w:tcW w:w="1340" w:type="pct"/>
          </w:tcPr>
          <w:p>
            <w:pPr>
              <w:pStyle w:val="159"/>
              <w:spacing w:line="360" w:lineRule="auto"/>
              <w:jc w:val="center"/>
              <w:rPr>
                <w:rFonts w:ascii="宋体" w:hAnsi="宋体" w:cs="Arial"/>
                <w:color w:val="auto"/>
                <w:szCs w:val="21"/>
                <w:highlight w:val="none"/>
              </w:rPr>
            </w:pPr>
          </w:p>
        </w:tc>
        <w:tc>
          <w:tcPr>
            <w:tcW w:w="1214" w:type="pct"/>
            <w:tcBorders>
              <w:right w:val="single" w:color="auto" w:sz="4" w:space="0"/>
            </w:tcBorders>
          </w:tcPr>
          <w:p>
            <w:pPr>
              <w:pStyle w:val="159"/>
              <w:spacing w:line="360" w:lineRule="auto"/>
              <w:jc w:val="center"/>
              <w:rPr>
                <w:rFonts w:ascii="宋体" w:hAnsi="宋体" w:cs="Arial"/>
                <w:color w:val="auto"/>
                <w:szCs w:val="21"/>
                <w:highlight w:val="none"/>
              </w:rPr>
            </w:pP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c>
          <w:tcPr>
            <w:tcW w:w="1107" w:type="pct"/>
            <w:tcBorders>
              <w:left w:val="single" w:color="auto" w:sz="4" w:space="0"/>
            </w:tcBorders>
          </w:tcPr>
          <w:p>
            <w:pPr>
              <w:pStyle w:val="159"/>
              <w:spacing w:line="360" w:lineRule="auto"/>
              <w:jc w:val="center"/>
              <w:rPr>
                <w:rFonts w:ascii="宋体" w:hAnsi="宋体" w:cs="Arial"/>
                <w:color w:val="auto"/>
                <w:szCs w:val="21"/>
                <w:highlight w:val="none"/>
              </w:rPr>
            </w:pPr>
          </w:p>
        </w:tc>
        <w:tc>
          <w:tcPr>
            <w:tcW w:w="1339" w:type="pct"/>
          </w:tcPr>
          <w:p>
            <w:pPr>
              <w:pStyle w:val="159"/>
              <w:spacing w:line="360" w:lineRule="auto"/>
              <w:jc w:val="center"/>
              <w:rPr>
                <w:rFonts w:ascii="宋体" w:hAnsi="宋体" w:cs="Arial"/>
                <w:color w:val="auto"/>
                <w:szCs w:val="21"/>
                <w:highlight w:val="none"/>
              </w:rPr>
            </w:pPr>
          </w:p>
        </w:tc>
        <w:tc>
          <w:tcPr>
            <w:tcW w:w="1340" w:type="pct"/>
          </w:tcPr>
          <w:p>
            <w:pPr>
              <w:pStyle w:val="159"/>
              <w:spacing w:line="360" w:lineRule="auto"/>
              <w:jc w:val="center"/>
              <w:rPr>
                <w:rFonts w:ascii="宋体" w:hAnsi="宋体" w:cs="Arial"/>
                <w:color w:val="auto"/>
                <w:szCs w:val="21"/>
                <w:highlight w:val="none"/>
              </w:rPr>
            </w:pPr>
          </w:p>
        </w:tc>
        <w:tc>
          <w:tcPr>
            <w:tcW w:w="1214" w:type="pct"/>
            <w:tcBorders>
              <w:right w:val="single" w:color="auto" w:sz="4" w:space="0"/>
            </w:tcBorders>
          </w:tcPr>
          <w:p>
            <w:pPr>
              <w:pStyle w:val="159"/>
              <w:spacing w:line="360" w:lineRule="auto"/>
              <w:jc w:val="center"/>
              <w:rPr>
                <w:rFonts w:ascii="宋体" w:hAnsi="宋体" w:cs="Arial"/>
                <w:color w:val="auto"/>
                <w:szCs w:val="21"/>
                <w:highlight w:val="none"/>
              </w:rPr>
            </w:pP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c>
          <w:tcPr>
            <w:tcW w:w="1107" w:type="pct"/>
            <w:tcBorders>
              <w:left w:val="single" w:color="auto" w:sz="4" w:space="0"/>
            </w:tcBorders>
          </w:tcPr>
          <w:p>
            <w:pPr>
              <w:pStyle w:val="159"/>
              <w:spacing w:line="360" w:lineRule="auto"/>
              <w:jc w:val="center"/>
              <w:rPr>
                <w:rFonts w:ascii="宋体" w:hAnsi="宋体" w:cs="Arial"/>
                <w:color w:val="auto"/>
                <w:szCs w:val="21"/>
                <w:highlight w:val="none"/>
              </w:rPr>
            </w:pPr>
          </w:p>
        </w:tc>
        <w:tc>
          <w:tcPr>
            <w:tcW w:w="1339" w:type="pct"/>
          </w:tcPr>
          <w:p>
            <w:pPr>
              <w:pStyle w:val="159"/>
              <w:spacing w:line="360" w:lineRule="auto"/>
              <w:jc w:val="center"/>
              <w:rPr>
                <w:rFonts w:ascii="宋体" w:hAnsi="宋体" w:cs="Arial"/>
                <w:color w:val="auto"/>
                <w:szCs w:val="21"/>
                <w:highlight w:val="none"/>
              </w:rPr>
            </w:pPr>
          </w:p>
        </w:tc>
        <w:tc>
          <w:tcPr>
            <w:tcW w:w="1340" w:type="pct"/>
          </w:tcPr>
          <w:p>
            <w:pPr>
              <w:pStyle w:val="159"/>
              <w:spacing w:line="360" w:lineRule="auto"/>
              <w:jc w:val="center"/>
              <w:rPr>
                <w:rFonts w:ascii="宋体" w:hAnsi="宋体" w:cs="Arial"/>
                <w:color w:val="auto"/>
                <w:szCs w:val="21"/>
                <w:highlight w:val="none"/>
              </w:rPr>
            </w:pPr>
          </w:p>
        </w:tc>
        <w:tc>
          <w:tcPr>
            <w:tcW w:w="1214" w:type="pct"/>
            <w:tcBorders>
              <w:right w:val="single" w:color="auto" w:sz="4" w:space="0"/>
            </w:tcBorders>
          </w:tcPr>
          <w:p>
            <w:pPr>
              <w:pStyle w:val="159"/>
              <w:spacing w:line="360" w:lineRule="auto"/>
              <w:jc w:val="center"/>
              <w:rPr>
                <w:rFonts w:ascii="宋体" w:hAnsi="宋体" w:cs="Arial"/>
                <w:color w:val="auto"/>
                <w:szCs w:val="21"/>
                <w:highlight w:val="none"/>
              </w:rPr>
            </w:pPr>
          </w:p>
        </w:tc>
      </w:tr>
    </w:tbl>
    <w:p>
      <w:pPr>
        <w:spacing w:before="120" w:beforeLines="50" w:after="120" w:afterLines="50" w:line="360" w:lineRule="auto"/>
        <w:rPr>
          <w:rFonts w:hAnsi="宋体" w:cs="Arial"/>
          <w:color w:val="auto"/>
          <w:sz w:val="21"/>
          <w:szCs w:val="21"/>
          <w:highlight w:val="none"/>
        </w:rPr>
      </w:pPr>
      <w:r>
        <w:rPr>
          <w:rFonts w:hAnsi="宋体" w:cs="Arial"/>
          <w:color w:val="auto"/>
          <w:sz w:val="21"/>
          <w:szCs w:val="21"/>
          <w:highlight w:val="none"/>
        </w:rPr>
        <w:t>注：需提供</w:t>
      </w:r>
      <w:r>
        <w:rPr>
          <w:rFonts w:hint="eastAsia" w:hAnsi="宋体" w:cs="Arial"/>
          <w:color w:val="auto"/>
          <w:sz w:val="21"/>
          <w:szCs w:val="21"/>
          <w:highlight w:val="none"/>
        </w:rPr>
        <w:t>证书复印件</w:t>
      </w:r>
    </w:p>
    <w:p>
      <w:pPr>
        <w:spacing w:before="120" w:beforeLines="50" w:after="120" w:afterLines="50" w:line="360" w:lineRule="auto"/>
        <w:ind w:firstLine="570"/>
        <w:rPr>
          <w:rFonts w:hAnsi="宋体" w:cs="Arial"/>
          <w:color w:val="auto"/>
          <w:sz w:val="21"/>
          <w:szCs w:val="21"/>
          <w:highlight w:val="none"/>
        </w:rPr>
      </w:pPr>
      <w:r>
        <w:rPr>
          <w:rFonts w:hint="eastAsia" w:hAnsi="宋体" w:cs="Arial"/>
          <w:color w:val="auto"/>
          <w:sz w:val="21"/>
          <w:szCs w:val="21"/>
          <w:highlight w:val="none"/>
        </w:rPr>
        <w:t>我</w:t>
      </w:r>
      <w:r>
        <w:rPr>
          <w:rFonts w:hAnsi="宋体" w:cs="Arial"/>
          <w:color w:val="auto"/>
          <w:sz w:val="21"/>
          <w:szCs w:val="21"/>
          <w:highlight w:val="none"/>
        </w:rPr>
        <w:t>/</w:t>
      </w:r>
      <w:r>
        <w:rPr>
          <w:rFonts w:hint="eastAsia" w:hAnsi="宋体" w:cs="Arial"/>
          <w:color w:val="auto"/>
          <w:sz w:val="21"/>
          <w:szCs w:val="21"/>
          <w:highlight w:val="none"/>
        </w:rPr>
        <w:t>我们声明以上所述是正确无误的，您有权进行您认为必要的所有调查。</w:t>
      </w:r>
    </w:p>
    <w:p>
      <w:pPr>
        <w:snapToGrid w:val="0"/>
        <w:spacing w:line="360" w:lineRule="auto"/>
        <w:rPr>
          <w:rFonts w:hAnsi="宋体"/>
          <w:color w:val="auto"/>
          <w:sz w:val="21"/>
          <w:szCs w:val="21"/>
          <w:highlight w:val="none"/>
        </w:rPr>
      </w:pPr>
    </w:p>
    <w:p>
      <w:pPr>
        <w:snapToGrid w:val="0"/>
        <w:spacing w:line="360" w:lineRule="auto"/>
        <w:rPr>
          <w:rFonts w:hAnsi="宋体"/>
          <w:color w:val="auto"/>
          <w:sz w:val="21"/>
          <w:szCs w:val="21"/>
          <w:highlight w:val="none"/>
        </w:rPr>
      </w:pPr>
      <w:r>
        <w:rPr>
          <w:rFonts w:hint="eastAsia" w:hAnsi="宋体"/>
          <w:color w:val="auto"/>
          <w:sz w:val="21"/>
          <w:szCs w:val="21"/>
          <w:highlight w:val="none"/>
        </w:rPr>
        <w:t>供应商法定代表人（或法定代表人授权代表）签字或盖章：</w:t>
      </w:r>
    </w:p>
    <w:p>
      <w:pPr>
        <w:snapToGrid w:val="0"/>
        <w:spacing w:line="360" w:lineRule="auto"/>
        <w:rPr>
          <w:rFonts w:hAnsi="宋体"/>
          <w:color w:val="auto"/>
          <w:sz w:val="21"/>
          <w:szCs w:val="21"/>
          <w:highlight w:val="none"/>
          <w:u w:val="single"/>
        </w:rPr>
      </w:pPr>
      <w:r>
        <w:rPr>
          <w:rFonts w:hint="eastAsia" w:hAnsi="宋体"/>
          <w:color w:val="auto"/>
          <w:sz w:val="21"/>
          <w:szCs w:val="21"/>
          <w:highlight w:val="none"/>
        </w:rPr>
        <w:t>供应商名称（加盖公章）：</w:t>
      </w:r>
    </w:p>
    <w:p>
      <w:pPr>
        <w:snapToGrid w:val="0"/>
        <w:spacing w:line="360" w:lineRule="auto"/>
        <w:rPr>
          <w:rFonts w:hAnsi="宋体" w:cs="Arial"/>
          <w:color w:val="auto"/>
          <w:sz w:val="21"/>
          <w:szCs w:val="21"/>
          <w:highlight w:val="none"/>
        </w:rPr>
      </w:pPr>
      <w:r>
        <w:rPr>
          <w:rFonts w:hint="eastAsia" w:hAnsi="宋体"/>
          <w:color w:val="auto"/>
          <w:sz w:val="21"/>
          <w:szCs w:val="21"/>
          <w:highlight w:val="none"/>
        </w:rPr>
        <w:t>日期：</w:t>
      </w:r>
    </w:p>
    <w:p>
      <w:pPr>
        <w:pStyle w:val="4"/>
        <w:pageBreakBefore/>
        <w:numPr>
          <w:ilvl w:val="0"/>
          <w:numId w:val="28"/>
        </w:numPr>
        <w:spacing w:line="360" w:lineRule="auto"/>
        <w:jc w:val="center"/>
        <w:rPr>
          <w:rFonts w:hAnsi="宋体"/>
          <w:b/>
          <w:color w:val="auto"/>
          <w:highlight w:val="none"/>
        </w:rPr>
      </w:pPr>
      <w:bookmarkStart w:id="131" w:name="_Toc1490"/>
      <w:r>
        <w:rPr>
          <w:rFonts w:hint="eastAsia" w:hAnsi="宋体"/>
          <w:b/>
          <w:color w:val="auto"/>
          <w:highlight w:val="none"/>
        </w:rPr>
        <w:t>合同条款偏离表</w:t>
      </w:r>
      <w:bookmarkEnd w:id="131"/>
    </w:p>
    <w:p>
      <w:pPr>
        <w:spacing w:line="360" w:lineRule="auto"/>
        <w:rPr>
          <w:rFonts w:hAnsi="宋体"/>
          <w:color w:val="auto"/>
          <w:sz w:val="21"/>
          <w:szCs w:val="21"/>
          <w:highlight w:val="none"/>
        </w:rPr>
      </w:pPr>
    </w:p>
    <w:tbl>
      <w:tblPr>
        <w:tblStyle w:val="48"/>
        <w:tblW w:w="903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06"/>
        <w:gridCol w:w="2420"/>
        <w:gridCol w:w="2520"/>
        <w:gridCol w:w="1195"/>
        <w:gridCol w:w="11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6" w:hRule="atLeast"/>
          <w:jc w:val="center"/>
        </w:trPr>
        <w:tc>
          <w:tcPr>
            <w:tcW w:w="1706" w:type="dxa"/>
            <w:vAlign w:val="center"/>
          </w:tcPr>
          <w:p>
            <w:pPr>
              <w:spacing w:line="360" w:lineRule="auto"/>
              <w:jc w:val="center"/>
              <w:rPr>
                <w:rFonts w:hAnsi="宋体"/>
                <w:color w:val="auto"/>
                <w:sz w:val="21"/>
                <w:szCs w:val="21"/>
                <w:highlight w:val="none"/>
              </w:rPr>
            </w:pPr>
            <w:r>
              <w:rPr>
                <w:rFonts w:hint="eastAsia" w:hAnsi="宋体"/>
                <w:color w:val="auto"/>
                <w:sz w:val="21"/>
                <w:szCs w:val="21"/>
                <w:highlight w:val="none"/>
              </w:rPr>
              <w:t>磋商文件条目号</w:t>
            </w:r>
          </w:p>
        </w:tc>
        <w:tc>
          <w:tcPr>
            <w:tcW w:w="2420" w:type="dxa"/>
            <w:vAlign w:val="center"/>
          </w:tcPr>
          <w:p>
            <w:pPr>
              <w:spacing w:line="360" w:lineRule="auto"/>
              <w:jc w:val="center"/>
              <w:rPr>
                <w:rFonts w:hAnsi="宋体"/>
                <w:color w:val="auto"/>
                <w:sz w:val="21"/>
                <w:szCs w:val="21"/>
                <w:highlight w:val="none"/>
              </w:rPr>
            </w:pPr>
            <w:r>
              <w:rPr>
                <w:rFonts w:hint="eastAsia" w:hAnsi="宋体"/>
                <w:color w:val="auto"/>
                <w:sz w:val="21"/>
                <w:szCs w:val="21"/>
                <w:highlight w:val="none"/>
              </w:rPr>
              <w:t>磋商文件合同条款</w:t>
            </w:r>
          </w:p>
        </w:tc>
        <w:tc>
          <w:tcPr>
            <w:tcW w:w="2520" w:type="dxa"/>
            <w:vAlign w:val="center"/>
          </w:tcPr>
          <w:p>
            <w:pPr>
              <w:spacing w:line="360" w:lineRule="auto"/>
              <w:jc w:val="center"/>
              <w:rPr>
                <w:rFonts w:hAnsi="宋体"/>
                <w:color w:val="auto"/>
                <w:sz w:val="21"/>
                <w:szCs w:val="21"/>
                <w:highlight w:val="none"/>
              </w:rPr>
            </w:pPr>
            <w:r>
              <w:rPr>
                <w:rFonts w:hint="eastAsia" w:hAnsi="宋体"/>
                <w:color w:val="auto"/>
                <w:sz w:val="21"/>
                <w:szCs w:val="21"/>
                <w:highlight w:val="none"/>
              </w:rPr>
              <w:t>响应文件合同条款</w:t>
            </w:r>
          </w:p>
        </w:tc>
        <w:tc>
          <w:tcPr>
            <w:tcW w:w="1195" w:type="dxa"/>
            <w:vAlign w:val="center"/>
          </w:tcPr>
          <w:p>
            <w:pPr>
              <w:spacing w:line="360" w:lineRule="auto"/>
              <w:jc w:val="center"/>
              <w:rPr>
                <w:rFonts w:hAnsi="宋体"/>
                <w:color w:val="auto"/>
                <w:sz w:val="21"/>
                <w:szCs w:val="21"/>
                <w:highlight w:val="none"/>
              </w:rPr>
            </w:pPr>
            <w:r>
              <w:rPr>
                <w:rFonts w:hint="eastAsia" w:hAnsi="宋体"/>
                <w:color w:val="auto"/>
                <w:sz w:val="21"/>
                <w:szCs w:val="21"/>
                <w:highlight w:val="none"/>
              </w:rPr>
              <w:t>偏离情况</w:t>
            </w:r>
          </w:p>
        </w:tc>
        <w:tc>
          <w:tcPr>
            <w:tcW w:w="1195" w:type="dxa"/>
            <w:vAlign w:val="center"/>
          </w:tcPr>
          <w:p>
            <w:pPr>
              <w:spacing w:line="360" w:lineRule="auto"/>
              <w:jc w:val="center"/>
              <w:rPr>
                <w:rFonts w:hAnsi="宋体"/>
                <w:color w:val="auto"/>
                <w:sz w:val="21"/>
                <w:szCs w:val="21"/>
                <w:highlight w:val="none"/>
              </w:rPr>
            </w:pPr>
            <w:r>
              <w:rPr>
                <w:rFonts w:hint="eastAsia" w:hAnsi="宋体"/>
                <w:color w:val="auto"/>
                <w:sz w:val="21"/>
                <w:szCs w:val="21"/>
                <w:highlight w:val="none"/>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706" w:type="dxa"/>
            <w:vAlign w:val="center"/>
          </w:tcPr>
          <w:p>
            <w:pPr>
              <w:spacing w:line="360" w:lineRule="auto"/>
              <w:jc w:val="center"/>
              <w:rPr>
                <w:rFonts w:hAnsi="宋体"/>
                <w:color w:val="auto"/>
                <w:sz w:val="21"/>
                <w:szCs w:val="21"/>
                <w:highlight w:val="none"/>
              </w:rPr>
            </w:pPr>
          </w:p>
        </w:tc>
        <w:tc>
          <w:tcPr>
            <w:tcW w:w="2420" w:type="dxa"/>
            <w:vAlign w:val="center"/>
          </w:tcPr>
          <w:p>
            <w:pPr>
              <w:spacing w:line="360" w:lineRule="auto"/>
              <w:jc w:val="center"/>
              <w:rPr>
                <w:rFonts w:hAnsi="宋体"/>
                <w:color w:val="auto"/>
                <w:sz w:val="21"/>
                <w:szCs w:val="21"/>
                <w:highlight w:val="none"/>
              </w:rPr>
            </w:pPr>
          </w:p>
        </w:tc>
        <w:tc>
          <w:tcPr>
            <w:tcW w:w="2520" w:type="dxa"/>
            <w:vAlign w:val="center"/>
          </w:tcPr>
          <w:p>
            <w:pPr>
              <w:spacing w:line="360" w:lineRule="auto"/>
              <w:jc w:val="center"/>
              <w:rPr>
                <w:rFonts w:hAnsi="宋体"/>
                <w:color w:val="auto"/>
                <w:sz w:val="21"/>
                <w:szCs w:val="21"/>
                <w:highlight w:val="none"/>
              </w:rPr>
            </w:pPr>
          </w:p>
        </w:tc>
        <w:tc>
          <w:tcPr>
            <w:tcW w:w="1195" w:type="dxa"/>
            <w:vAlign w:val="center"/>
          </w:tcPr>
          <w:p>
            <w:pPr>
              <w:spacing w:line="360" w:lineRule="auto"/>
              <w:jc w:val="center"/>
              <w:rPr>
                <w:rFonts w:hAnsi="宋体"/>
                <w:color w:val="auto"/>
                <w:sz w:val="21"/>
                <w:szCs w:val="21"/>
                <w:highlight w:val="none"/>
              </w:rPr>
            </w:pPr>
          </w:p>
        </w:tc>
        <w:tc>
          <w:tcPr>
            <w:tcW w:w="1195" w:type="dxa"/>
            <w:vAlign w:val="center"/>
          </w:tcPr>
          <w:p>
            <w:pPr>
              <w:spacing w:line="360" w:lineRule="auto"/>
              <w:jc w:val="center"/>
              <w:rPr>
                <w:rFonts w:hAnsi="宋体"/>
                <w:color w:val="auto"/>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706" w:type="dxa"/>
            <w:vAlign w:val="center"/>
          </w:tcPr>
          <w:p>
            <w:pPr>
              <w:spacing w:line="360" w:lineRule="auto"/>
              <w:jc w:val="center"/>
              <w:rPr>
                <w:rFonts w:hAnsi="宋体"/>
                <w:color w:val="auto"/>
                <w:sz w:val="21"/>
                <w:szCs w:val="21"/>
                <w:highlight w:val="none"/>
              </w:rPr>
            </w:pPr>
          </w:p>
        </w:tc>
        <w:tc>
          <w:tcPr>
            <w:tcW w:w="2420" w:type="dxa"/>
            <w:vAlign w:val="center"/>
          </w:tcPr>
          <w:p>
            <w:pPr>
              <w:spacing w:line="360" w:lineRule="auto"/>
              <w:jc w:val="center"/>
              <w:rPr>
                <w:rFonts w:hAnsi="宋体"/>
                <w:color w:val="auto"/>
                <w:sz w:val="21"/>
                <w:szCs w:val="21"/>
                <w:highlight w:val="none"/>
              </w:rPr>
            </w:pPr>
          </w:p>
        </w:tc>
        <w:tc>
          <w:tcPr>
            <w:tcW w:w="2520" w:type="dxa"/>
            <w:vAlign w:val="center"/>
          </w:tcPr>
          <w:p>
            <w:pPr>
              <w:spacing w:line="360" w:lineRule="auto"/>
              <w:jc w:val="center"/>
              <w:rPr>
                <w:rFonts w:hAnsi="宋体"/>
                <w:color w:val="auto"/>
                <w:sz w:val="21"/>
                <w:szCs w:val="21"/>
                <w:highlight w:val="none"/>
              </w:rPr>
            </w:pPr>
          </w:p>
        </w:tc>
        <w:tc>
          <w:tcPr>
            <w:tcW w:w="1195" w:type="dxa"/>
            <w:vAlign w:val="center"/>
          </w:tcPr>
          <w:p>
            <w:pPr>
              <w:spacing w:line="360" w:lineRule="auto"/>
              <w:jc w:val="center"/>
              <w:rPr>
                <w:rFonts w:hAnsi="宋体"/>
                <w:color w:val="auto"/>
                <w:sz w:val="21"/>
                <w:szCs w:val="21"/>
                <w:highlight w:val="none"/>
              </w:rPr>
            </w:pPr>
          </w:p>
        </w:tc>
        <w:tc>
          <w:tcPr>
            <w:tcW w:w="1195" w:type="dxa"/>
            <w:vAlign w:val="center"/>
          </w:tcPr>
          <w:p>
            <w:pPr>
              <w:spacing w:line="360" w:lineRule="auto"/>
              <w:jc w:val="center"/>
              <w:rPr>
                <w:rFonts w:hAnsi="宋体"/>
                <w:color w:val="auto"/>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706" w:type="dxa"/>
            <w:vAlign w:val="center"/>
          </w:tcPr>
          <w:p>
            <w:pPr>
              <w:spacing w:line="360" w:lineRule="auto"/>
              <w:jc w:val="center"/>
              <w:rPr>
                <w:rFonts w:hAnsi="宋体"/>
                <w:color w:val="auto"/>
                <w:sz w:val="21"/>
                <w:szCs w:val="21"/>
                <w:highlight w:val="none"/>
              </w:rPr>
            </w:pPr>
          </w:p>
        </w:tc>
        <w:tc>
          <w:tcPr>
            <w:tcW w:w="2420" w:type="dxa"/>
            <w:vAlign w:val="center"/>
          </w:tcPr>
          <w:p>
            <w:pPr>
              <w:spacing w:line="360" w:lineRule="auto"/>
              <w:jc w:val="center"/>
              <w:rPr>
                <w:rFonts w:hAnsi="宋体"/>
                <w:color w:val="auto"/>
                <w:sz w:val="21"/>
                <w:szCs w:val="21"/>
                <w:highlight w:val="none"/>
              </w:rPr>
            </w:pPr>
          </w:p>
        </w:tc>
        <w:tc>
          <w:tcPr>
            <w:tcW w:w="2520" w:type="dxa"/>
            <w:vAlign w:val="center"/>
          </w:tcPr>
          <w:p>
            <w:pPr>
              <w:spacing w:line="360" w:lineRule="auto"/>
              <w:jc w:val="center"/>
              <w:rPr>
                <w:rFonts w:hAnsi="宋体"/>
                <w:color w:val="auto"/>
                <w:sz w:val="21"/>
                <w:szCs w:val="21"/>
                <w:highlight w:val="none"/>
              </w:rPr>
            </w:pPr>
          </w:p>
        </w:tc>
        <w:tc>
          <w:tcPr>
            <w:tcW w:w="1195" w:type="dxa"/>
            <w:vAlign w:val="center"/>
          </w:tcPr>
          <w:p>
            <w:pPr>
              <w:spacing w:line="360" w:lineRule="auto"/>
              <w:jc w:val="center"/>
              <w:rPr>
                <w:rFonts w:hAnsi="宋体"/>
                <w:color w:val="auto"/>
                <w:sz w:val="21"/>
                <w:szCs w:val="21"/>
                <w:highlight w:val="none"/>
              </w:rPr>
            </w:pPr>
          </w:p>
        </w:tc>
        <w:tc>
          <w:tcPr>
            <w:tcW w:w="1195" w:type="dxa"/>
            <w:vAlign w:val="center"/>
          </w:tcPr>
          <w:p>
            <w:pPr>
              <w:spacing w:line="360" w:lineRule="auto"/>
              <w:jc w:val="center"/>
              <w:rPr>
                <w:rFonts w:hAnsi="宋体"/>
                <w:color w:val="auto"/>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706" w:type="dxa"/>
            <w:vAlign w:val="center"/>
          </w:tcPr>
          <w:p>
            <w:pPr>
              <w:spacing w:line="360" w:lineRule="auto"/>
              <w:jc w:val="center"/>
              <w:rPr>
                <w:rFonts w:hAnsi="宋体"/>
                <w:color w:val="auto"/>
                <w:sz w:val="21"/>
                <w:szCs w:val="21"/>
                <w:highlight w:val="none"/>
              </w:rPr>
            </w:pPr>
          </w:p>
        </w:tc>
        <w:tc>
          <w:tcPr>
            <w:tcW w:w="2420" w:type="dxa"/>
            <w:vAlign w:val="center"/>
          </w:tcPr>
          <w:p>
            <w:pPr>
              <w:pStyle w:val="44"/>
              <w:spacing w:before="0" w:beforeAutospacing="0" w:after="0" w:afterAutospacing="0" w:line="360" w:lineRule="auto"/>
              <w:jc w:val="center"/>
              <w:rPr>
                <w:color w:val="auto"/>
                <w:sz w:val="21"/>
                <w:szCs w:val="21"/>
                <w:highlight w:val="none"/>
              </w:rPr>
            </w:pPr>
          </w:p>
        </w:tc>
        <w:tc>
          <w:tcPr>
            <w:tcW w:w="2520" w:type="dxa"/>
            <w:vAlign w:val="center"/>
          </w:tcPr>
          <w:p>
            <w:pPr>
              <w:spacing w:line="360" w:lineRule="auto"/>
              <w:jc w:val="center"/>
              <w:rPr>
                <w:rFonts w:hAnsi="宋体"/>
                <w:color w:val="auto"/>
                <w:sz w:val="21"/>
                <w:szCs w:val="21"/>
                <w:highlight w:val="none"/>
              </w:rPr>
            </w:pPr>
          </w:p>
        </w:tc>
        <w:tc>
          <w:tcPr>
            <w:tcW w:w="1195" w:type="dxa"/>
            <w:vAlign w:val="center"/>
          </w:tcPr>
          <w:p>
            <w:pPr>
              <w:spacing w:line="360" w:lineRule="auto"/>
              <w:jc w:val="center"/>
              <w:rPr>
                <w:rFonts w:hAnsi="宋体"/>
                <w:color w:val="auto"/>
                <w:sz w:val="21"/>
                <w:szCs w:val="21"/>
                <w:highlight w:val="none"/>
              </w:rPr>
            </w:pPr>
          </w:p>
        </w:tc>
        <w:tc>
          <w:tcPr>
            <w:tcW w:w="1195" w:type="dxa"/>
            <w:vAlign w:val="center"/>
          </w:tcPr>
          <w:p>
            <w:pPr>
              <w:spacing w:line="360" w:lineRule="auto"/>
              <w:jc w:val="center"/>
              <w:rPr>
                <w:rFonts w:hAnsi="宋体"/>
                <w:color w:val="auto"/>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706" w:type="dxa"/>
            <w:vAlign w:val="center"/>
          </w:tcPr>
          <w:p>
            <w:pPr>
              <w:spacing w:line="360" w:lineRule="auto"/>
              <w:jc w:val="center"/>
              <w:rPr>
                <w:rFonts w:hAnsi="宋体"/>
                <w:color w:val="auto"/>
                <w:sz w:val="21"/>
                <w:szCs w:val="21"/>
                <w:highlight w:val="none"/>
              </w:rPr>
            </w:pPr>
          </w:p>
        </w:tc>
        <w:tc>
          <w:tcPr>
            <w:tcW w:w="2420" w:type="dxa"/>
            <w:vAlign w:val="center"/>
          </w:tcPr>
          <w:p>
            <w:pPr>
              <w:spacing w:line="360" w:lineRule="auto"/>
              <w:jc w:val="center"/>
              <w:rPr>
                <w:rFonts w:hAnsi="宋体"/>
                <w:color w:val="auto"/>
                <w:sz w:val="21"/>
                <w:szCs w:val="21"/>
                <w:highlight w:val="none"/>
              </w:rPr>
            </w:pPr>
          </w:p>
        </w:tc>
        <w:tc>
          <w:tcPr>
            <w:tcW w:w="2520" w:type="dxa"/>
            <w:vAlign w:val="center"/>
          </w:tcPr>
          <w:p>
            <w:pPr>
              <w:spacing w:line="360" w:lineRule="auto"/>
              <w:jc w:val="center"/>
              <w:rPr>
                <w:rFonts w:hAnsi="宋体"/>
                <w:color w:val="auto"/>
                <w:sz w:val="21"/>
                <w:szCs w:val="21"/>
                <w:highlight w:val="none"/>
              </w:rPr>
            </w:pPr>
          </w:p>
        </w:tc>
        <w:tc>
          <w:tcPr>
            <w:tcW w:w="1195" w:type="dxa"/>
            <w:vAlign w:val="center"/>
          </w:tcPr>
          <w:p>
            <w:pPr>
              <w:spacing w:line="360" w:lineRule="auto"/>
              <w:jc w:val="center"/>
              <w:rPr>
                <w:rFonts w:hAnsi="宋体"/>
                <w:color w:val="auto"/>
                <w:sz w:val="21"/>
                <w:szCs w:val="21"/>
                <w:highlight w:val="none"/>
              </w:rPr>
            </w:pPr>
          </w:p>
        </w:tc>
        <w:tc>
          <w:tcPr>
            <w:tcW w:w="1195" w:type="dxa"/>
            <w:vAlign w:val="center"/>
          </w:tcPr>
          <w:p>
            <w:pPr>
              <w:spacing w:line="360" w:lineRule="auto"/>
              <w:jc w:val="center"/>
              <w:rPr>
                <w:rFonts w:hAnsi="宋体"/>
                <w:color w:val="auto"/>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706" w:type="dxa"/>
            <w:vAlign w:val="center"/>
          </w:tcPr>
          <w:p>
            <w:pPr>
              <w:spacing w:line="360" w:lineRule="auto"/>
              <w:jc w:val="center"/>
              <w:rPr>
                <w:rFonts w:hAnsi="宋体"/>
                <w:color w:val="auto"/>
                <w:sz w:val="21"/>
                <w:szCs w:val="21"/>
                <w:highlight w:val="none"/>
              </w:rPr>
            </w:pPr>
          </w:p>
        </w:tc>
        <w:tc>
          <w:tcPr>
            <w:tcW w:w="2420" w:type="dxa"/>
            <w:vAlign w:val="center"/>
          </w:tcPr>
          <w:p>
            <w:pPr>
              <w:spacing w:line="360" w:lineRule="auto"/>
              <w:jc w:val="center"/>
              <w:rPr>
                <w:rFonts w:hAnsi="宋体"/>
                <w:color w:val="auto"/>
                <w:sz w:val="21"/>
                <w:szCs w:val="21"/>
                <w:highlight w:val="none"/>
              </w:rPr>
            </w:pPr>
          </w:p>
        </w:tc>
        <w:tc>
          <w:tcPr>
            <w:tcW w:w="2520" w:type="dxa"/>
            <w:vAlign w:val="center"/>
          </w:tcPr>
          <w:p>
            <w:pPr>
              <w:spacing w:line="360" w:lineRule="auto"/>
              <w:jc w:val="center"/>
              <w:rPr>
                <w:rFonts w:hAnsi="宋体"/>
                <w:color w:val="auto"/>
                <w:sz w:val="21"/>
                <w:szCs w:val="21"/>
                <w:highlight w:val="none"/>
              </w:rPr>
            </w:pPr>
          </w:p>
        </w:tc>
        <w:tc>
          <w:tcPr>
            <w:tcW w:w="1195" w:type="dxa"/>
            <w:vAlign w:val="center"/>
          </w:tcPr>
          <w:p>
            <w:pPr>
              <w:spacing w:line="360" w:lineRule="auto"/>
              <w:jc w:val="center"/>
              <w:rPr>
                <w:rFonts w:hAnsi="宋体"/>
                <w:color w:val="auto"/>
                <w:sz w:val="21"/>
                <w:szCs w:val="21"/>
                <w:highlight w:val="none"/>
              </w:rPr>
            </w:pPr>
          </w:p>
        </w:tc>
        <w:tc>
          <w:tcPr>
            <w:tcW w:w="1195" w:type="dxa"/>
            <w:vAlign w:val="center"/>
          </w:tcPr>
          <w:p>
            <w:pPr>
              <w:spacing w:line="360" w:lineRule="auto"/>
              <w:jc w:val="center"/>
              <w:rPr>
                <w:rFonts w:hAnsi="宋体"/>
                <w:color w:val="auto"/>
                <w:sz w:val="21"/>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706" w:type="dxa"/>
            <w:vAlign w:val="center"/>
          </w:tcPr>
          <w:p>
            <w:pPr>
              <w:spacing w:line="360" w:lineRule="auto"/>
              <w:jc w:val="center"/>
              <w:rPr>
                <w:rFonts w:hAnsi="宋体"/>
                <w:color w:val="auto"/>
                <w:sz w:val="21"/>
                <w:szCs w:val="21"/>
                <w:highlight w:val="none"/>
              </w:rPr>
            </w:pPr>
          </w:p>
        </w:tc>
        <w:tc>
          <w:tcPr>
            <w:tcW w:w="2420" w:type="dxa"/>
            <w:vAlign w:val="center"/>
          </w:tcPr>
          <w:p>
            <w:pPr>
              <w:spacing w:line="360" w:lineRule="auto"/>
              <w:jc w:val="center"/>
              <w:rPr>
                <w:rFonts w:hAnsi="宋体"/>
                <w:color w:val="auto"/>
                <w:sz w:val="21"/>
                <w:szCs w:val="21"/>
                <w:highlight w:val="none"/>
              </w:rPr>
            </w:pPr>
          </w:p>
        </w:tc>
        <w:tc>
          <w:tcPr>
            <w:tcW w:w="2520" w:type="dxa"/>
            <w:vAlign w:val="center"/>
          </w:tcPr>
          <w:p>
            <w:pPr>
              <w:spacing w:line="360" w:lineRule="auto"/>
              <w:jc w:val="center"/>
              <w:rPr>
                <w:rFonts w:hAnsi="宋体"/>
                <w:color w:val="auto"/>
                <w:sz w:val="21"/>
                <w:szCs w:val="21"/>
                <w:highlight w:val="none"/>
              </w:rPr>
            </w:pPr>
          </w:p>
        </w:tc>
        <w:tc>
          <w:tcPr>
            <w:tcW w:w="1195" w:type="dxa"/>
            <w:vAlign w:val="center"/>
          </w:tcPr>
          <w:p>
            <w:pPr>
              <w:spacing w:line="360" w:lineRule="auto"/>
              <w:jc w:val="center"/>
              <w:rPr>
                <w:rFonts w:hAnsi="宋体"/>
                <w:color w:val="auto"/>
                <w:sz w:val="21"/>
                <w:szCs w:val="21"/>
                <w:highlight w:val="none"/>
              </w:rPr>
            </w:pPr>
          </w:p>
        </w:tc>
        <w:tc>
          <w:tcPr>
            <w:tcW w:w="1195" w:type="dxa"/>
            <w:vAlign w:val="center"/>
          </w:tcPr>
          <w:p>
            <w:pPr>
              <w:spacing w:line="360" w:lineRule="auto"/>
              <w:jc w:val="center"/>
              <w:rPr>
                <w:rFonts w:hAnsi="宋体"/>
                <w:color w:val="auto"/>
                <w:sz w:val="21"/>
                <w:szCs w:val="21"/>
                <w:highlight w:val="none"/>
              </w:rPr>
            </w:pPr>
          </w:p>
        </w:tc>
      </w:tr>
    </w:tbl>
    <w:p>
      <w:pPr>
        <w:spacing w:line="360" w:lineRule="auto"/>
        <w:ind w:left="1052" w:leftChars="132" w:hanging="735" w:hangingChars="350"/>
        <w:rPr>
          <w:rFonts w:hAnsi="宋体"/>
          <w:color w:val="auto"/>
          <w:sz w:val="21"/>
          <w:szCs w:val="21"/>
          <w:highlight w:val="none"/>
        </w:rPr>
      </w:pPr>
    </w:p>
    <w:p>
      <w:pPr>
        <w:spacing w:line="360" w:lineRule="auto"/>
        <w:ind w:left="1052" w:leftChars="132" w:hanging="735" w:hangingChars="350"/>
        <w:rPr>
          <w:rFonts w:hAnsi="宋体"/>
          <w:b/>
          <w:bCs/>
          <w:color w:val="auto"/>
          <w:sz w:val="21"/>
          <w:szCs w:val="21"/>
          <w:highlight w:val="none"/>
        </w:rPr>
      </w:pPr>
      <w:r>
        <w:rPr>
          <w:rFonts w:hint="eastAsia" w:hAnsi="宋体"/>
          <w:color w:val="auto"/>
          <w:sz w:val="21"/>
          <w:szCs w:val="21"/>
          <w:highlight w:val="none"/>
        </w:rPr>
        <w:t>注：1）供应商应对照磋商文件“合同条款”，如实地说明已对磋商文件“合同条款”内容的响应情况，并说明与磋商文件的偏差和响应情况。若发现虚假填写的，</w:t>
      </w:r>
      <w:r>
        <w:rPr>
          <w:rFonts w:hint="eastAsia" w:hAnsi="宋体"/>
          <w:b/>
          <w:color w:val="auto"/>
          <w:kern w:val="2"/>
          <w:sz w:val="21"/>
          <w:szCs w:val="21"/>
          <w:highlight w:val="none"/>
          <w:lang w:val="zh-CN"/>
        </w:rPr>
        <w:t>投标无效</w:t>
      </w:r>
      <w:r>
        <w:rPr>
          <w:rFonts w:hint="eastAsia" w:hAnsi="宋体"/>
          <w:color w:val="auto"/>
          <w:sz w:val="21"/>
          <w:szCs w:val="21"/>
          <w:highlight w:val="none"/>
        </w:rPr>
        <w:t>。</w:t>
      </w:r>
    </w:p>
    <w:p>
      <w:pPr>
        <w:spacing w:line="360" w:lineRule="auto"/>
        <w:ind w:left="1054" w:leftChars="308" w:hanging="315" w:hangingChars="150"/>
        <w:rPr>
          <w:rFonts w:hAnsi="宋体"/>
          <w:color w:val="auto"/>
          <w:sz w:val="21"/>
          <w:szCs w:val="21"/>
          <w:highlight w:val="none"/>
        </w:rPr>
      </w:pPr>
      <w:r>
        <w:rPr>
          <w:rFonts w:hint="eastAsia" w:hAnsi="宋体"/>
          <w:color w:val="auto"/>
          <w:sz w:val="21"/>
          <w:szCs w:val="21"/>
          <w:highlight w:val="none"/>
        </w:rPr>
        <w:t>2）如供应商差异内容较多可另附页说明。</w:t>
      </w:r>
    </w:p>
    <w:p>
      <w:pPr>
        <w:spacing w:line="360" w:lineRule="auto"/>
        <w:ind w:left="1054" w:leftChars="308" w:hanging="315" w:hangingChars="150"/>
        <w:rPr>
          <w:rFonts w:hAnsi="宋体"/>
          <w:color w:val="auto"/>
          <w:sz w:val="21"/>
          <w:szCs w:val="21"/>
          <w:highlight w:val="none"/>
        </w:rPr>
      </w:pPr>
      <w:r>
        <w:rPr>
          <w:rFonts w:hint="eastAsia" w:hAnsi="宋体"/>
          <w:color w:val="auto"/>
          <w:sz w:val="21"/>
          <w:szCs w:val="21"/>
          <w:highlight w:val="none"/>
        </w:rPr>
        <w:t>3）如供应商对“合同条款”全部响应的，可以在表格下面用文字总括性的说明。</w:t>
      </w:r>
    </w:p>
    <w:p>
      <w:pPr>
        <w:spacing w:line="360" w:lineRule="auto"/>
        <w:ind w:left="1054" w:leftChars="308" w:hanging="315" w:hangingChars="150"/>
        <w:rPr>
          <w:rFonts w:hAnsi="宋体"/>
          <w:color w:val="auto"/>
          <w:sz w:val="21"/>
          <w:szCs w:val="21"/>
          <w:highlight w:val="none"/>
        </w:rPr>
      </w:pPr>
      <w:r>
        <w:rPr>
          <w:rFonts w:hint="eastAsia" w:hAnsi="宋体"/>
          <w:color w:val="auto"/>
          <w:sz w:val="21"/>
          <w:szCs w:val="21"/>
          <w:highlight w:val="none"/>
        </w:rPr>
        <w:t>4）如有偏离，应在“偏离情况”栏内注明“有”，并在“说明”栏内予以说明；如无偏离，应在“偏离情况”栏内注明“无”。</w:t>
      </w:r>
    </w:p>
    <w:p>
      <w:pPr>
        <w:pStyle w:val="131"/>
        <w:spacing w:line="360" w:lineRule="auto"/>
        <w:rPr>
          <w:rFonts w:ascii="宋体" w:hAnsi="宋体"/>
          <w:color w:val="auto"/>
          <w:sz w:val="28"/>
          <w:szCs w:val="28"/>
          <w:highlight w:val="none"/>
        </w:rPr>
      </w:pPr>
    </w:p>
    <w:p>
      <w:pPr>
        <w:pStyle w:val="131"/>
        <w:spacing w:line="360" w:lineRule="auto"/>
        <w:rPr>
          <w:rFonts w:ascii="宋体" w:hAnsi="宋体"/>
          <w:color w:val="auto"/>
          <w:sz w:val="28"/>
          <w:szCs w:val="28"/>
          <w:highlight w:val="none"/>
        </w:rPr>
      </w:pPr>
    </w:p>
    <w:p>
      <w:pPr>
        <w:snapToGrid w:val="0"/>
        <w:spacing w:line="360" w:lineRule="auto"/>
        <w:rPr>
          <w:rFonts w:hAnsi="宋体"/>
          <w:color w:val="auto"/>
          <w:sz w:val="21"/>
          <w:szCs w:val="21"/>
          <w:highlight w:val="none"/>
        </w:rPr>
      </w:pPr>
      <w:r>
        <w:rPr>
          <w:rFonts w:hint="eastAsia" w:hAnsi="宋体"/>
          <w:color w:val="auto"/>
          <w:sz w:val="21"/>
          <w:szCs w:val="21"/>
          <w:highlight w:val="none"/>
        </w:rPr>
        <w:t>供应商法定代表人（或法定代表人授权代表）签字或盖章：</w:t>
      </w:r>
    </w:p>
    <w:p>
      <w:pPr>
        <w:snapToGrid w:val="0"/>
        <w:spacing w:line="360" w:lineRule="auto"/>
        <w:rPr>
          <w:rFonts w:hAnsi="宋体"/>
          <w:color w:val="auto"/>
          <w:sz w:val="21"/>
          <w:szCs w:val="21"/>
          <w:highlight w:val="none"/>
          <w:u w:val="single"/>
        </w:rPr>
      </w:pPr>
      <w:r>
        <w:rPr>
          <w:rFonts w:hint="eastAsia" w:hAnsi="宋体"/>
          <w:color w:val="auto"/>
          <w:sz w:val="21"/>
          <w:szCs w:val="21"/>
          <w:highlight w:val="none"/>
        </w:rPr>
        <w:t>供应商名称（加盖公章）：</w:t>
      </w:r>
    </w:p>
    <w:p>
      <w:pPr>
        <w:spacing w:line="360" w:lineRule="auto"/>
        <w:rPr>
          <w:rFonts w:hAnsi="宋体"/>
          <w:b/>
          <w:color w:val="auto"/>
          <w:sz w:val="21"/>
          <w:szCs w:val="21"/>
          <w:highlight w:val="none"/>
        </w:rPr>
      </w:pPr>
      <w:r>
        <w:rPr>
          <w:rFonts w:hint="eastAsia" w:hAnsi="宋体"/>
          <w:color w:val="auto"/>
          <w:sz w:val="21"/>
          <w:szCs w:val="21"/>
          <w:highlight w:val="none"/>
        </w:rPr>
        <w:t>日期：</w:t>
      </w:r>
    </w:p>
    <w:p>
      <w:pPr>
        <w:spacing w:line="360" w:lineRule="auto"/>
        <w:rPr>
          <w:rFonts w:hAnsi="宋体"/>
          <w:color w:val="auto"/>
          <w:sz w:val="21"/>
          <w:szCs w:val="21"/>
          <w:highlight w:val="none"/>
        </w:rPr>
      </w:pPr>
    </w:p>
    <w:p>
      <w:pPr>
        <w:pStyle w:val="4"/>
        <w:pageBreakBefore/>
        <w:numPr>
          <w:ilvl w:val="0"/>
          <w:numId w:val="28"/>
        </w:numPr>
        <w:spacing w:line="360" w:lineRule="auto"/>
        <w:jc w:val="center"/>
        <w:rPr>
          <w:rFonts w:hAnsi="宋体"/>
          <w:b/>
          <w:color w:val="auto"/>
          <w:highlight w:val="none"/>
        </w:rPr>
      </w:pPr>
      <w:bookmarkStart w:id="132" w:name="_Toc20489"/>
      <w:r>
        <w:rPr>
          <w:rFonts w:hint="eastAsia" w:hAnsi="宋体"/>
          <w:b/>
          <w:color w:val="auto"/>
          <w:highlight w:val="none"/>
        </w:rPr>
        <w:t>招标代理服务费承诺书</w:t>
      </w:r>
      <w:bookmarkEnd w:id="132"/>
    </w:p>
    <w:p>
      <w:pPr>
        <w:spacing w:line="360" w:lineRule="auto"/>
        <w:ind w:right="893" w:rightChars="372" w:firstLine="420"/>
        <w:jc w:val="both"/>
        <w:rPr>
          <w:rFonts w:hAnsi="宋体"/>
          <w:color w:val="auto"/>
          <w:kern w:val="2"/>
          <w:sz w:val="21"/>
          <w:szCs w:val="21"/>
          <w:highlight w:val="none"/>
          <w:lang w:val="zh-CN"/>
        </w:rPr>
      </w:pPr>
    </w:p>
    <w:p>
      <w:pPr>
        <w:spacing w:line="360" w:lineRule="auto"/>
        <w:ind w:right="893" w:rightChars="372"/>
        <w:jc w:val="both"/>
        <w:rPr>
          <w:rFonts w:hAnsi="宋体"/>
          <w:b/>
          <w:bCs/>
          <w:color w:val="auto"/>
          <w:kern w:val="2"/>
          <w:sz w:val="21"/>
          <w:szCs w:val="21"/>
          <w:highlight w:val="none"/>
          <w:lang w:val="zh-CN"/>
        </w:rPr>
      </w:pPr>
      <w:r>
        <w:rPr>
          <w:rFonts w:hint="eastAsia" w:hAnsi="宋体"/>
          <w:b/>
          <w:bCs/>
          <w:color w:val="auto"/>
          <w:kern w:val="2"/>
          <w:sz w:val="21"/>
          <w:szCs w:val="21"/>
          <w:highlight w:val="none"/>
          <w:lang w:val="zh-CN"/>
        </w:rPr>
        <w:t>致：广东中科招标有限公司</w:t>
      </w:r>
    </w:p>
    <w:p>
      <w:pPr>
        <w:spacing w:line="360" w:lineRule="auto"/>
        <w:ind w:right="893" w:rightChars="372" w:firstLine="420"/>
        <w:jc w:val="both"/>
        <w:rPr>
          <w:rFonts w:hAnsi="宋体"/>
          <w:color w:val="auto"/>
          <w:kern w:val="2"/>
          <w:sz w:val="21"/>
          <w:szCs w:val="21"/>
          <w:highlight w:val="none"/>
          <w:lang w:val="zh-CN"/>
        </w:rPr>
      </w:pPr>
    </w:p>
    <w:p>
      <w:pPr>
        <w:tabs>
          <w:tab w:val="left" w:pos="-142"/>
        </w:tabs>
        <w:spacing w:line="360" w:lineRule="auto"/>
        <w:ind w:right="17" w:rightChars="7" w:firstLine="457" w:firstLineChars="218"/>
        <w:jc w:val="both"/>
        <w:rPr>
          <w:rFonts w:hAnsi="宋体"/>
          <w:color w:val="auto"/>
          <w:kern w:val="2"/>
          <w:sz w:val="21"/>
          <w:highlight w:val="none"/>
          <w:lang w:val="zh-CN"/>
        </w:rPr>
      </w:pPr>
      <w:r>
        <w:rPr>
          <w:rFonts w:hint="eastAsia" w:hAnsi="宋体"/>
          <w:color w:val="auto"/>
          <w:kern w:val="2"/>
          <w:sz w:val="21"/>
          <w:highlight w:val="none"/>
          <w:lang w:val="zh-CN"/>
        </w:rPr>
        <w:t>我单位在贵司代理的</w:t>
      </w:r>
      <w:r>
        <w:rPr>
          <w:rFonts w:hint="eastAsia" w:hAnsi="宋体"/>
          <w:color w:val="auto"/>
          <w:kern w:val="2"/>
          <w:sz w:val="21"/>
          <w:szCs w:val="21"/>
          <w:highlight w:val="none"/>
          <w:lang w:val="zh-CN"/>
        </w:rPr>
        <w:t>霄边社区典型村“百千万工程”建设提升规划编制</w:t>
      </w:r>
      <w:r>
        <w:rPr>
          <w:rFonts w:hint="eastAsia" w:hAnsi="宋体"/>
          <w:color w:val="auto"/>
          <w:sz w:val="21"/>
          <w:szCs w:val="32"/>
          <w:highlight w:val="none"/>
        </w:rPr>
        <w:t>(采购项目编号</w:t>
      </w:r>
      <w:r>
        <w:rPr>
          <w:rFonts w:hint="eastAsia" w:hAnsi="宋体"/>
          <w:color w:val="auto"/>
          <w:kern w:val="2"/>
          <w:sz w:val="21"/>
          <w:szCs w:val="21"/>
          <w:highlight w:val="none"/>
          <w:lang w:val="zh-CN"/>
        </w:rPr>
        <w:t>：ZKZB-2024-C018)</w:t>
      </w:r>
      <w:r>
        <w:rPr>
          <w:rFonts w:hint="eastAsia" w:hAnsi="宋体"/>
          <w:color w:val="auto"/>
          <w:kern w:val="2"/>
          <w:sz w:val="21"/>
          <w:highlight w:val="none"/>
          <w:lang w:val="zh-CN"/>
        </w:rPr>
        <w:t>采购中若获成交，我们承诺</w:t>
      </w:r>
      <w:r>
        <w:rPr>
          <w:rFonts w:hint="eastAsia" w:hAnsi="宋体"/>
          <w:color w:val="auto"/>
          <w:kern w:val="2"/>
          <w:sz w:val="21"/>
          <w:szCs w:val="21"/>
          <w:highlight w:val="none"/>
          <w:lang w:val="zh-CN"/>
        </w:rPr>
        <w:t>收到领取《成交通知书》通知后，在15日内向贵司缴纳招标代理服务费，否则视为放弃成交权利和义务。</w:t>
      </w:r>
      <w:r>
        <w:rPr>
          <w:rFonts w:hint="eastAsia" w:hAnsi="宋体"/>
          <w:color w:val="auto"/>
          <w:kern w:val="2"/>
          <w:sz w:val="21"/>
          <w:highlight w:val="none"/>
          <w:lang w:val="zh-CN"/>
        </w:rPr>
        <w:t>招标代理服务费以电汇、银行转账或经贵公司认可的一种方式，向贵公司即广东中科招标有限公司指定的银行帐号，一次性支付招标代理服务费。</w:t>
      </w:r>
    </w:p>
    <w:p>
      <w:pPr>
        <w:spacing w:line="360" w:lineRule="auto"/>
        <w:ind w:right="893" w:rightChars="372"/>
        <w:jc w:val="both"/>
        <w:rPr>
          <w:rFonts w:hAnsi="宋体"/>
          <w:color w:val="auto"/>
          <w:kern w:val="2"/>
          <w:sz w:val="21"/>
          <w:highlight w:val="none"/>
          <w:lang w:val="zh-CN"/>
        </w:rPr>
      </w:pPr>
    </w:p>
    <w:p>
      <w:pPr>
        <w:spacing w:line="360" w:lineRule="auto"/>
        <w:ind w:right="893" w:rightChars="372" w:firstLine="480"/>
        <w:jc w:val="both"/>
        <w:rPr>
          <w:rFonts w:hAnsi="宋体"/>
          <w:color w:val="auto"/>
          <w:kern w:val="2"/>
          <w:sz w:val="21"/>
          <w:highlight w:val="none"/>
          <w:lang w:val="zh-CN"/>
        </w:rPr>
      </w:pPr>
      <w:r>
        <w:rPr>
          <w:rFonts w:hint="eastAsia" w:hAnsi="宋体"/>
          <w:color w:val="auto"/>
          <w:kern w:val="2"/>
          <w:sz w:val="21"/>
          <w:highlight w:val="none"/>
          <w:lang w:val="zh-CN"/>
        </w:rPr>
        <w:t>特此承诺！</w:t>
      </w:r>
    </w:p>
    <w:p>
      <w:pPr>
        <w:spacing w:line="360" w:lineRule="auto"/>
        <w:ind w:right="893" w:rightChars="372"/>
        <w:jc w:val="both"/>
        <w:rPr>
          <w:rFonts w:hAnsi="宋体"/>
          <w:color w:val="auto"/>
          <w:kern w:val="2"/>
          <w:sz w:val="21"/>
          <w:highlight w:val="none"/>
          <w:lang w:val="zh-CN"/>
        </w:rPr>
      </w:pPr>
    </w:p>
    <w:p>
      <w:pPr>
        <w:spacing w:line="360" w:lineRule="auto"/>
        <w:ind w:right="893" w:rightChars="372"/>
        <w:jc w:val="both"/>
        <w:rPr>
          <w:rFonts w:hAnsi="宋体"/>
          <w:color w:val="auto"/>
          <w:kern w:val="2"/>
          <w:sz w:val="21"/>
          <w:highlight w:val="none"/>
          <w:lang w:val="zh-CN"/>
        </w:rPr>
      </w:pPr>
    </w:p>
    <w:p>
      <w:pPr>
        <w:spacing w:line="360" w:lineRule="auto"/>
        <w:ind w:right="893" w:rightChars="372"/>
        <w:jc w:val="both"/>
        <w:rPr>
          <w:rFonts w:hAnsi="宋体"/>
          <w:color w:val="auto"/>
          <w:kern w:val="2"/>
          <w:sz w:val="21"/>
          <w:highlight w:val="none"/>
          <w:lang w:val="zh-CN"/>
        </w:rPr>
      </w:pPr>
      <w:r>
        <w:rPr>
          <w:rFonts w:hint="eastAsia" w:hAnsi="宋体"/>
          <w:color w:val="auto"/>
          <w:sz w:val="21"/>
          <w:szCs w:val="21"/>
          <w:highlight w:val="none"/>
        </w:rPr>
        <w:t>供应商法定代表人（或法定代表人授权代表）签字或盖章</w:t>
      </w:r>
      <w:r>
        <w:rPr>
          <w:rFonts w:hint="eastAsia" w:hAnsi="宋体"/>
          <w:color w:val="auto"/>
          <w:kern w:val="2"/>
          <w:sz w:val="21"/>
          <w:highlight w:val="none"/>
          <w:lang w:val="zh-CN"/>
        </w:rPr>
        <w:t>：</w:t>
      </w:r>
    </w:p>
    <w:p>
      <w:pPr>
        <w:spacing w:line="360" w:lineRule="auto"/>
        <w:ind w:right="893" w:rightChars="372"/>
        <w:jc w:val="both"/>
        <w:rPr>
          <w:rFonts w:hAnsi="宋体"/>
          <w:color w:val="auto"/>
          <w:kern w:val="2"/>
          <w:sz w:val="21"/>
          <w:highlight w:val="none"/>
          <w:lang w:val="zh-CN"/>
        </w:rPr>
      </w:pPr>
      <w:r>
        <w:rPr>
          <w:rFonts w:hint="eastAsia" w:hAnsi="宋体"/>
          <w:color w:val="auto"/>
          <w:kern w:val="2"/>
          <w:sz w:val="21"/>
          <w:highlight w:val="none"/>
          <w:lang w:val="zh-CN"/>
        </w:rPr>
        <w:t>供应商名称（加盖公章）：</w:t>
      </w:r>
      <w:r>
        <w:rPr>
          <w:rFonts w:hAnsi="宋体"/>
          <w:color w:val="auto"/>
          <w:kern w:val="2"/>
          <w:sz w:val="21"/>
          <w:highlight w:val="none"/>
          <w:lang w:val="zh-CN"/>
        </w:rPr>
        <w:t xml:space="preserve"> </w:t>
      </w:r>
    </w:p>
    <w:p>
      <w:pPr>
        <w:spacing w:line="360" w:lineRule="auto"/>
        <w:ind w:right="893" w:rightChars="372"/>
        <w:jc w:val="both"/>
        <w:rPr>
          <w:rFonts w:hAnsi="宋体"/>
          <w:color w:val="auto"/>
          <w:kern w:val="2"/>
          <w:sz w:val="21"/>
          <w:highlight w:val="none"/>
          <w:lang w:val="zh-CN"/>
        </w:rPr>
      </w:pPr>
      <w:r>
        <w:rPr>
          <w:rFonts w:hint="eastAsia" w:hAnsi="宋体"/>
          <w:color w:val="auto"/>
          <w:kern w:val="2"/>
          <w:sz w:val="21"/>
          <w:highlight w:val="none"/>
          <w:lang w:val="zh-CN"/>
        </w:rPr>
        <w:t>地址：</w:t>
      </w:r>
      <w:r>
        <w:rPr>
          <w:rFonts w:hAnsi="宋体"/>
          <w:color w:val="auto"/>
          <w:kern w:val="2"/>
          <w:sz w:val="21"/>
          <w:highlight w:val="none"/>
          <w:lang w:val="zh-CN"/>
        </w:rPr>
        <w:t xml:space="preserve"> </w:t>
      </w:r>
    </w:p>
    <w:p>
      <w:pPr>
        <w:spacing w:line="360" w:lineRule="auto"/>
        <w:ind w:right="893" w:rightChars="372"/>
        <w:jc w:val="both"/>
        <w:rPr>
          <w:rFonts w:hAnsi="宋体"/>
          <w:color w:val="auto"/>
          <w:kern w:val="2"/>
          <w:sz w:val="21"/>
          <w:highlight w:val="none"/>
          <w:lang w:val="zh-CN"/>
        </w:rPr>
      </w:pPr>
      <w:r>
        <w:rPr>
          <w:rFonts w:hint="eastAsia" w:hAnsi="宋体"/>
          <w:color w:val="auto"/>
          <w:kern w:val="2"/>
          <w:sz w:val="21"/>
          <w:highlight w:val="none"/>
          <w:lang w:val="zh-CN"/>
        </w:rPr>
        <w:t>电话：</w:t>
      </w:r>
      <w:r>
        <w:rPr>
          <w:rFonts w:hAnsi="宋体"/>
          <w:color w:val="auto"/>
          <w:kern w:val="2"/>
          <w:sz w:val="21"/>
          <w:highlight w:val="none"/>
          <w:lang w:val="zh-CN"/>
        </w:rPr>
        <w:t xml:space="preserve"> </w:t>
      </w:r>
    </w:p>
    <w:p>
      <w:pPr>
        <w:spacing w:line="360" w:lineRule="auto"/>
        <w:ind w:right="893" w:rightChars="372"/>
        <w:jc w:val="both"/>
        <w:rPr>
          <w:rFonts w:hAnsi="宋体"/>
          <w:color w:val="auto"/>
          <w:kern w:val="2"/>
          <w:sz w:val="21"/>
          <w:highlight w:val="none"/>
          <w:lang w:val="zh-CN"/>
        </w:rPr>
      </w:pPr>
      <w:r>
        <w:rPr>
          <w:rFonts w:hint="eastAsia" w:hAnsi="宋体"/>
          <w:color w:val="auto"/>
          <w:kern w:val="2"/>
          <w:sz w:val="21"/>
          <w:highlight w:val="none"/>
          <w:lang w:val="zh-CN"/>
        </w:rPr>
        <w:t>传真：</w:t>
      </w:r>
      <w:r>
        <w:rPr>
          <w:rFonts w:hAnsi="宋体"/>
          <w:color w:val="auto"/>
          <w:kern w:val="2"/>
          <w:sz w:val="21"/>
          <w:highlight w:val="none"/>
          <w:lang w:val="zh-CN"/>
        </w:rPr>
        <w:t xml:space="preserve"> </w:t>
      </w:r>
    </w:p>
    <w:p>
      <w:pPr>
        <w:spacing w:line="360" w:lineRule="auto"/>
        <w:rPr>
          <w:rFonts w:hAnsi="宋体"/>
          <w:color w:val="auto"/>
          <w:kern w:val="2"/>
          <w:sz w:val="21"/>
          <w:highlight w:val="none"/>
          <w:lang w:val="zh-CN"/>
        </w:rPr>
      </w:pPr>
      <w:r>
        <w:rPr>
          <w:rFonts w:hint="eastAsia" w:hAnsi="宋体"/>
          <w:color w:val="auto"/>
          <w:kern w:val="2"/>
          <w:sz w:val="21"/>
          <w:highlight w:val="none"/>
          <w:lang w:val="zh-CN"/>
        </w:rPr>
        <w:t>承诺日期：</w:t>
      </w:r>
    </w:p>
    <w:p>
      <w:pPr>
        <w:spacing w:line="360" w:lineRule="auto"/>
        <w:rPr>
          <w:rFonts w:hAnsi="宋体"/>
          <w:b/>
          <w:color w:val="auto"/>
          <w:sz w:val="21"/>
          <w:szCs w:val="21"/>
          <w:highlight w:val="none"/>
        </w:rPr>
      </w:pPr>
    </w:p>
    <w:p>
      <w:pPr>
        <w:pStyle w:val="4"/>
        <w:pageBreakBefore/>
        <w:numPr>
          <w:ilvl w:val="0"/>
          <w:numId w:val="28"/>
        </w:numPr>
        <w:spacing w:line="360" w:lineRule="auto"/>
        <w:ind w:left="0" w:leftChars="-59" w:hanging="142" w:hangingChars="59"/>
        <w:jc w:val="center"/>
        <w:rPr>
          <w:rFonts w:hAnsi="宋体"/>
          <w:b/>
          <w:color w:val="auto"/>
          <w:highlight w:val="none"/>
        </w:rPr>
      </w:pPr>
      <w:bookmarkStart w:id="133" w:name="_Toc7258"/>
      <w:r>
        <w:rPr>
          <w:rFonts w:hint="eastAsia" w:hAnsi="宋体"/>
          <w:b/>
          <w:color w:val="auto"/>
          <w:highlight w:val="none"/>
        </w:rPr>
        <w:t>其他资料</w:t>
      </w:r>
      <w:bookmarkEnd w:id="133"/>
    </w:p>
    <w:p>
      <w:pPr>
        <w:spacing w:line="360" w:lineRule="auto"/>
        <w:rPr>
          <w:rFonts w:hAnsi="宋体"/>
          <w:color w:val="auto"/>
          <w:sz w:val="21"/>
          <w:szCs w:val="21"/>
          <w:highlight w:val="none"/>
        </w:rPr>
      </w:pPr>
    </w:p>
    <w:p>
      <w:pPr>
        <w:spacing w:line="360" w:lineRule="auto"/>
        <w:rPr>
          <w:rFonts w:hAnsi="宋体"/>
          <w:color w:val="auto"/>
          <w:sz w:val="21"/>
          <w:szCs w:val="21"/>
          <w:highlight w:val="none"/>
        </w:rPr>
      </w:pPr>
      <w:r>
        <w:rPr>
          <w:rFonts w:hint="eastAsia" w:hAnsi="宋体"/>
          <w:color w:val="auto"/>
          <w:sz w:val="21"/>
          <w:szCs w:val="21"/>
          <w:highlight w:val="none"/>
        </w:rPr>
        <w:t>1、磋商文件要求提供的其他资料（如有）</w:t>
      </w:r>
    </w:p>
    <w:p>
      <w:pPr>
        <w:spacing w:line="360" w:lineRule="auto"/>
        <w:rPr>
          <w:rFonts w:hAnsi="宋体"/>
          <w:color w:val="auto"/>
          <w:sz w:val="21"/>
          <w:szCs w:val="21"/>
          <w:highlight w:val="none"/>
        </w:rPr>
      </w:pPr>
      <w:r>
        <w:rPr>
          <w:rFonts w:hint="eastAsia" w:hAnsi="宋体"/>
          <w:color w:val="auto"/>
          <w:sz w:val="21"/>
          <w:szCs w:val="21"/>
          <w:highlight w:val="none"/>
        </w:rPr>
        <w:t>2、供应商认为需要提供的其他资料（如有）</w:t>
      </w:r>
    </w:p>
    <w:p>
      <w:pPr>
        <w:spacing w:line="360" w:lineRule="auto"/>
        <w:rPr>
          <w:rFonts w:hAnsi="宋体"/>
          <w:b/>
          <w:color w:val="auto"/>
          <w:sz w:val="21"/>
          <w:szCs w:val="21"/>
          <w:highlight w:val="none"/>
        </w:rPr>
      </w:pPr>
    </w:p>
    <w:p>
      <w:pPr>
        <w:pStyle w:val="3"/>
        <w:pageBreakBefore/>
        <w:spacing w:line="360" w:lineRule="auto"/>
        <w:jc w:val="center"/>
        <w:rPr>
          <w:rFonts w:hAnsi="宋体"/>
          <w:b/>
          <w:color w:val="auto"/>
          <w:sz w:val="28"/>
          <w:szCs w:val="28"/>
          <w:highlight w:val="none"/>
        </w:rPr>
      </w:pPr>
      <w:bookmarkStart w:id="134" w:name="_Toc6391"/>
      <w:bookmarkStart w:id="135" w:name="_Toc396137258"/>
      <w:r>
        <w:rPr>
          <w:rFonts w:hint="eastAsia" w:hAnsi="宋体"/>
          <w:b/>
          <w:color w:val="auto"/>
          <w:sz w:val="28"/>
          <w:szCs w:val="28"/>
          <w:highlight w:val="none"/>
        </w:rPr>
        <w:t>第二节 技术文件</w:t>
      </w:r>
      <w:bookmarkEnd w:id="134"/>
      <w:bookmarkEnd w:id="135"/>
    </w:p>
    <w:p>
      <w:pPr>
        <w:rPr>
          <w:rFonts w:hAnsi="宋体"/>
          <w:color w:val="auto"/>
          <w:highlight w:val="none"/>
        </w:rPr>
      </w:pPr>
    </w:p>
    <w:bookmarkEnd w:id="129"/>
    <w:p>
      <w:pPr>
        <w:pStyle w:val="4"/>
        <w:numPr>
          <w:ilvl w:val="1"/>
          <w:numId w:val="30"/>
        </w:numPr>
        <w:spacing w:line="360" w:lineRule="auto"/>
        <w:jc w:val="center"/>
        <w:rPr>
          <w:rFonts w:hAnsi="宋体"/>
          <w:b/>
          <w:color w:val="auto"/>
          <w:highlight w:val="none"/>
        </w:rPr>
      </w:pPr>
      <w:bookmarkStart w:id="136" w:name="_Hlt10520028"/>
      <w:bookmarkEnd w:id="136"/>
      <w:bookmarkStart w:id="137" w:name="_Hlt10523647"/>
      <w:bookmarkEnd w:id="137"/>
      <w:bookmarkStart w:id="138" w:name="_Toc5924"/>
      <w:r>
        <w:rPr>
          <w:rFonts w:hint="eastAsia" w:hAnsi="宋体"/>
          <w:b/>
          <w:color w:val="auto"/>
          <w:highlight w:val="none"/>
        </w:rPr>
        <w:t>投标方案</w:t>
      </w:r>
      <w:bookmarkEnd w:id="138"/>
    </w:p>
    <w:p>
      <w:pPr>
        <w:spacing w:line="360" w:lineRule="auto"/>
        <w:rPr>
          <w:rFonts w:hAnsi="宋体"/>
          <w:color w:val="auto"/>
          <w:sz w:val="21"/>
          <w:szCs w:val="21"/>
          <w:highlight w:val="none"/>
        </w:rPr>
      </w:pPr>
    </w:p>
    <w:p>
      <w:pPr>
        <w:snapToGrid w:val="0"/>
        <w:spacing w:line="360" w:lineRule="auto"/>
        <w:ind w:firstLine="420" w:firstLineChars="200"/>
        <w:rPr>
          <w:rFonts w:hAnsi="宋体"/>
          <w:color w:val="auto"/>
          <w:sz w:val="21"/>
          <w:szCs w:val="21"/>
          <w:highlight w:val="none"/>
        </w:rPr>
      </w:pPr>
      <w:r>
        <w:rPr>
          <w:rFonts w:hint="eastAsia" w:hAnsi="宋体"/>
          <w:color w:val="auto"/>
          <w:sz w:val="21"/>
          <w:szCs w:val="21"/>
          <w:highlight w:val="none"/>
        </w:rPr>
        <w:t>供应商根据采购需求书编写。</w:t>
      </w:r>
    </w:p>
    <w:p>
      <w:pPr>
        <w:snapToGrid w:val="0"/>
        <w:spacing w:line="360" w:lineRule="auto"/>
        <w:rPr>
          <w:rFonts w:hAnsi="宋体"/>
          <w:color w:val="auto"/>
          <w:sz w:val="21"/>
          <w:szCs w:val="21"/>
          <w:highlight w:val="none"/>
        </w:rPr>
      </w:pPr>
    </w:p>
    <w:p>
      <w:pPr>
        <w:pStyle w:val="4"/>
        <w:pageBreakBefore/>
        <w:numPr>
          <w:ilvl w:val="1"/>
          <w:numId w:val="30"/>
        </w:numPr>
        <w:spacing w:line="360" w:lineRule="auto"/>
        <w:ind w:left="0" w:firstLine="0"/>
        <w:jc w:val="center"/>
        <w:rPr>
          <w:rFonts w:hAnsi="宋体"/>
          <w:b/>
          <w:color w:val="auto"/>
          <w:highlight w:val="none"/>
        </w:rPr>
      </w:pPr>
      <w:bookmarkStart w:id="139" w:name="_Toc13952"/>
      <w:bookmarkStart w:id="140" w:name="_Toc396137261"/>
      <w:r>
        <w:rPr>
          <w:rFonts w:hint="eastAsia" w:hAnsi="宋体"/>
          <w:b/>
          <w:color w:val="auto"/>
          <w:highlight w:val="none"/>
        </w:rPr>
        <w:t>拟安排本项目技术人员情况表</w:t>
      </w:r>
      <w:bookmarkEnd w:id="139"/>
      <w:bookmarkEnd w:id="140"/>
    </w:p>
    <w:p>
      <w:pPr>
        <w:pStyle w:val="26"/>
        <w:spacing w:line="360" w:lineRule="auto"/>
        <w:ind w:firstLine="420"/>
        <w:jc w:val="center"/>
        <w:rPr>
          <w:rFonts w:hAnsi="宋体"/>
          <w:b/>
          <w:color w:val="auto"/>
          <w:sz w:val="28"/>
          <w:szCs w:val="28"/>
          <w:highlight w:val="none"/>
        </w:rPr>
      </w:pPr>
    </w:p>
    <w:p>
      <w:pPr>
        <w:pStyle w:val="26"/>
        <w:spacing w:line="360" w:lineRule="auto"/>
        <w:ind w:firstLine="420"/>
        <w:jc w:val="center"/>
        <w:rPr>
          <w:rFonts w:hAnsi="宋体"/>
          <w:color w:val="auto"/>
          <w:sz w:val="24"/>
          <w:szCs w:val="24"/>
          <w:highlight w:val="none"/>
        </w:rPr>
      </w:pPr>
      <w:r>
        <w:rPr>
          <w:rFonts w:hint="eastAsia" w:hAnsi="宋体"/>
          <w:b/>
          <w:color w:val="auto"/>
          <w:sz w:val="24"/>
          <w:szCs w:val="24"/>
          <w:highlight w:val="none"/>
        </w:rPr>
        <w:t>项目负责人管理经验和资质情况表</w:t>
      </w:r>
    </w:p>
    <w:tbl>
      <w:tblPr>
        <w:tblStyle w:val="4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5"/>
        <w:gridCol w:w="548"/>
        <w:gridCol w:w="1299"/>
        <w:gridCol w:w="1357"/>
        <w:gridCol w:w="2247"/>
        <w:gridCol w:w="1287"/>
        <w:gridCol w:w="10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5" w:type="dxa"/>
            <w:vAlign w:val="center"/>
          </w:tcPr>
          <w:p>
            <w:pPr>
              <w:pStyle w:val="26"/>
              <w:spacing w:line="360" w:lineRule="auto"/>
              <w:jc w:val="center"/>
              <w:rPr>
                <w:rFonts w:hAnsi="宋体"/>
                <w:color w:val="auto"/>
                <w:highlight w:val="none"/>
              </w:rPr>
            </w:pPr>
            <w:r>
              <w:rPr>
                <w:rFonts w:hint="eastAsia" w:hAnsi="宋体"/>
                <w:color w:val="auto"/>
                <w:highlight w:val="none"/>
              </w:rPr>
              <w:t>姓名</w:t>
            </w:r>
          </w:p>
        </w:tc>
        <w:tc>
          <w:tcPr>
            <w:tcW w:w="1847" w:type="dxa"/>
            <w:gridSpan w:val="2"/>
            <w:vAlign w:val="center"/>
          </w:tcPr>
          <w:p>
            <w:pPr>
              <w:pStyle w:val="26"/>
              <w:spacing w:line="360" w:lineRule="auto"/>
              <w:rPr>
                <w:rFonts w:hAnsi="宋体"/>
                <w:color w:val="auto"/>
                <w:highlight w:val="none"/>
              </w:rPr>
            </w:pPr>
          </w:p>
        </w:tc>
        <w:tc>
          <w:tcPr>
            <w:tcW w:w="1357" w:type="dxa"/>
            <w:vAlign w:val="center"/>
          </w:tcPr>
          <w:p>
            <w:pPr>
              <w:pStyle w:val="26"/>
              <w:spacing w:line="360" w:lineRule="auto"/>
              <w:jc w:val="center"/>
              <w:rPr>
                <w:rFonts w:hAnsi="宋体"/>
                <w:color w:val="auto"/>
                <w:highlight w:val="none"/>
              </w:rPr>
            </w:pPr>
            <w:r>
              <w:rPr>
                <w:rFonts w:hint="eastAsia" w:hAnsi="宋体"/>
                <w:color w:val="auto"/>
                <w:highlight w:val="none"/>
              </w:rPr>
              <w:t>性别</w:t>
            </w:r>
          </w:p>
        </w:tc>
        <w:tc>
          <w:tcPr>
            <w:tcW w:w="2247" w:type="dxa"/>
            <w:vAlign w:val="center"/>
          </w:tcPr>
          <w:p>
            <w:pPr>
              <w:pStyle w:val="26"/>
              <w:spacing w:line="360" w:lineRule="auto"/>
              <w:rPr>
                <w:rFonts w:hAnsi="宋体"/>
                <w:color w:val="auto"/>
                <w:highlight w:val="none"/>
              </w:rPr>
            </w:pPr>
          </w:p>
        </w:tc>
        <w:tc>
          <w:tcPr>
            <w:tcW w:w="1287" w:type="dxa"/>
            <w:vAlign w:val="center"/>
          </w:tcPr>
          <w:p>
            <w:pPr>
              <w:pStyle w:val="26"/>
              <w:spacing w:line="360" w:lineRule="auto"/>
              <w:jc w:val="center"/>
              <w:rPr>
                <w:rFonts w:hAnsi="宋体"/>
                <w:color w:val="auto"/>
                <w:highlight w:val="none"/>
              </w:rPr>
            </w:pPr>
            <w:r>
              <w:rPr>
                <w:rFonts w:hint="eastAsia" w:hAnsi="宋体"/>
                <w:color w:val="auto"/>
                <w:highlight w:val="none"/>
              </w:rPr>
              <w:t>年龄</w:t>
            </w:r>
          </w:p>
        </w:tc>
        <w:tc>
          <w:tcPr>
            <w:tcW w:w="1027" w:type="dxa"/>
            <w:vAlign w:val="center"/>
          </w:tcPr>
          <w:p>
            <w:pPr>
              <w:pStyle w:val="26"/>
              <w:spacing w:line="360" w:lineRule="auto"/>
              <w:rPr>
                <w:rFonts w:hAnsi="宋体"/>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5" w:type="dxa"/>
            <w:vAlign w:val="center"/>
          </w:tcPr>
          <w:p>
            <w:pPr>
              <w:pStyle w:val="26"/>
              <w:spacing w:line="360" w:lineRule="auto"/>
              <w:jc w:val="center"/>
              <w:rPr>
                <w:rFonts w:hAnsi="宋体"/>
                <w:color w:val="auto"/>
                <w:highlight w:val="none"/>
              </w:rPr>
            </w:pPr>
            <w:r>
              <w:rPr>
                <w:rFonts w:hint="eastAsia" w:hAnsi="宋体"/>
                <w:color w:val="auto"/>
                <w:highlight w:val="none"/>
              </w:rPr>
              <w:t>职务</w:t>
            </w:r>
          </w:p>
        </w:tc>
        <w:tc>
          <w:tcPr>
            <w:tcW w:w="1847" w:type="dxa"/>
            <w:gridSpan w:val="2"/>
            <w:vAlign w:val="center"/>
          </w:tcPr>
          <w:p>
            <w:pPr>
              <w:pStyle w:val="26"/>
              <w:spacing w:line="360" w:lineRule="auto"/>
              <w:rPr>
                <w:rFonts w:hAnsi="宋体"/>
                <w:color w:val="auto"/>
                <w:highlight w:val="none"/>
              </w:rPr>
            </w:pPr>
          </w:p>
        </w:tc>
        <w:tc>
          <w:tcPr>
            <w:tcW w:w="1357" w:type="dxa"/>
            <w:vAlign w:val="center"/>
          </w:tcPr>
          <w:p>
            <w:pPr>
              <w:pStyle w:val="26"/>
              <w:spacing w:line="360" w:lineRule="auto"/>
              <w:jc w:val="center"/>
              <w:rPr>
                <w:rFonts w:hAnsi="宋体"/>
                <w:color w:val="auto"/>
                <w:highlight w:val="none"/>
              </w:rPr>
            </w:pPr>
            <w:r>
              <w:rPr>
                <w:rFonts w:hint="eastAsia" w:hAnsi="宋体"/>
                <w:color w:val="auto"/>
                <w:highlight w:val="none"/>
              </w:rPr>
              <w:t>职称</w:t>
            </w:r>
          </w:p>
        </w:tc>
        <w:tc>
          <w:tcPr>
            <w:tcW w:w="2247" w:type="dxa"/>
            <w:vAlign w:val="center"/>
          </w:tcPr>
          <w:p>
            <w:pPr>
              <w:pStyle w:val="26"/>
              <w:spacing w:line="360" w:lineRule="auto"/>
              <w:rPr>
                <w:rFonts w:hAnsi="宋体"/>
                <w:color w:val="auto"/>
                <w:highlight w:val="none"/>
              </w:rPr>
            </w:pPr>
          </w:p>
        </w:tc>
        <w:tc>
          <w:tcPr>
            <w:tcW w:w="1287" w:type="dxa"/>
            <w:vAlign w:val="center"/>
          </w:tcPr>
          <w:p>
            <w:pPr>
              <w:pStyle w:val="26"/>
              <w:spacing w:line="360" w:lineRule="auto"/>
              <w:jc w:val="center"/>
              <w:rPr>
                <w:rFonts w:hAnsi="宋体"/>
                <w:color w:val="auto"/>
                <w:highlight w:val="none"/>
              </w:rPr>
            </w:pPr>
            <w:r>
              <w:rPr>
                <w:rFonts w:hint="eastAsia" w:hAnsi="宋体"/>
                <w:color w:val="auto"/>
                <w:highlight w:val="none"/>
              </w:rPr>
              <w:t>学历</w:t>
            </w:r>
          </w:p>
        </w:tc>
        <w:tc>
          <w:tcPr>
            <w:tcW w:w="1027" w:type="dxa"/>
            <w:vAlign w:val="center"/>
          </w:tcPr>
          <w:p>
            <w:pPr>
              <w:pStyle w:val="26"/>
              <w:spacing w:line="360" w:lineRule="auto"/>
              <w:rPr>
                <w:rFonts w:hAnsi="宋体"/>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5" w:type="dxa"/>
            <w:vAlign w:val="center"/>
          </w:tcPr>
          <w:p>
            <w:pPr>
              <w:pStyle w:val="26"/>
              <w:spacing w:line="360" w:lineRule="auto"/>
              <w:jc w:val="center"/>
              <w:rPr>
                <w:rFonts w:hAnsi="宋体"/>
                <w:color w:val="auto"/>
                <w:highlight w:val="none"/>
              </w:rPr>
            </w:pPr>
            <w:r>
              <w:rPr>
                <w:rFonts w:hint="eastAsia" w:hAnsi="宋体"/>
                <w:color w:val="auto"/>
                <w:highlight w:val="none"/>
              </w:rPr>
              <w:t>办公电话</w:t>
            </w:r>
          </w:p>
        </w:tc>
        <w:tc>
          <w:tcPr>
            <w:tcW w:w="1847" w:type="dxa"/>
            <w:gridSpan w:val="2"/>
            <w:vAlign w:val="center"/>
          </w:tcPr>
          <w:p>
            <w:pPr>
              <w:pStyle w:val="26"/>
              <w:spacing w:line="360" w:lineRule="auto"/>
              <w:rPr>
                <w:rFonts w:hAnsi="宋体"/>
                <w:color w:val="auto"/>
                <w:highlight w:val="none"/>
              </w:rPr>
            </w:pPr>
          </w:p>
        </w:tc>
        <w:tc>
          <w:tcPr>
            <w:tcW w:w="1357" w:type="dxa"/>
            <w:vAlign w:val="center"/>
          </w:tcPr>
          <w:p>
            <w:pPr>
              <w:pStyle w:val="26"/>
              <w:spacing w:line="360" w:lineRule="auto"/>
              <w:jc w:val="center"/>
              <w:rPr>
                <w:rFonts w:hAnsi="宋体"/>
                <w:color w:val="auto"/>
                <w:highlight w:val="none"/>
              </w:rPr>
            </w:pPr>
            <w:r>
              <w:rPr>
                <w:rFonts w:hint="eastAsia" w:hAnsi="宋体"/>
                <w:color w:val="auto"/>
                <w:highlight w:val="none"/>
              </w:rPr>
              <w:t>住宅电话</w:t>
            </w:r>
          </w:p>
        </w:tc>
        <w:tc>
          <w:tcPr>
            <w:tcW w:w="2247" w:type="dxa"/>
            <w:vAlign w:val="center"/>
          </w:tcPr>
          <w:p>
            <w:pPr>
              <w:pStyle w:val="26"/>
              <w:spacing w:line="360" w:lineRule="auto"/>
              <w:rPr>
                <w:rFonts w:hAnsi="宋体"/>
                <w:color w:val="auto"/>
                <w:highlight w:val="none"/>
              </w:rPr>
            </w:pPr>
          </w:p>
        </w:tc>
        <w:tc>
          <w:tcPr>
            <w:tcW w:w="1287" w:type="dxa"/>
            <w:vAlign w:val="center"/>
          </w:tcPr>
          <w:p>
            <w:pPr>
              <w:pStyle w:val="26"/>
              <w:spacing w:line="360" w:lineRule="auto"/>
              <w:jc w:val="center"/>
              <w:rPr>
                <w:rFonts w:hAnsi="宋体"/>
                <w:color w:val="auto"/>
                <w:highlight w:val="none"/>
              </w:rPr>
            </w:pPr>
            <w:r>
              <w:rPr>
                <w:rFonts w:hint="eastAsia" w:hAnsi="宋体"/>
                <w:color w:val="auto"/>
                <w:highlight w:val="none"/>
              </w:rPr>
              <w:t>移动电话</w:t>
            </w:r>
          </w:p>
        </w:tc>
        <w:tc>
          <w:tcPr>
            <w:tcW w:w="1027" w:type="dxa"/>
            <w:vAlign w:val="center"/>
          </w:tcPr>
          <w:p>
            <w:pPr>
              <w:pStyle w:val="26"/>
              <w:spacing w:line="360" w:lineRule="auto"/>
              <w:rPr>
                <w:rFonts w:hAnsi="宋体"/>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3" w:type="dxa"/>
            <w:gridSpan w:val="2"/>
            <w:vAlign w:val="center"/>
          </w:tcPr>
          <w:p>
            <w:pPr>
              <w:pStyle w:val="26"/>
              <w:spacing w:line="360" w:lineRule="auto"/>
              <w:jc w:val="center"/>
              <w:rPr>
                <w:rFonts w:hAnsi="宋体"/>
                <w:color w:val="auto"/>
                <w:highlight w:val="none"/>
              </w:rPr>
            </w:pPr>
            <w:r>
              <w:rPr>
                <w:rFonts w:hint="eastAsia" w:hAnsi="宋体"/>
                <w:color w:val="auto"/>
                <w:highlight w:val="none"/>
              </w:rPr>
              <w:t>参加工作时间</w:t>
            </w:r>
          </w:p>
        </w:tc>
        <w:tc>
          <w:tcPr>
            <w:tcW w:w="2656" w:type="dxa"/>
            <w:gridSpan w:val="2"/>
            <w:vAlign w:val="center"/>
          </w:tcPr>
          <w:p>
            <w:pPr>
              <w:pStyle w:val="26"/>
              <w:spacing w:line="360" w:lineRule="auto"/>
              <w:jc w:val="center"/>
              <w:rPr>
                <w:rFonts w:hAnsi="宋体"/>
                <w:color w:val="auto"/>
                <w:highlight w:val="none"/>
              </w:rPr>
            </w:pPr>
          </w:p>
        </w:tc>
        <w:tc>
          <w:tcPr>
            <w:tcW w:w="2247" w:type="dxa"/>
            <w:vAlign w:val="center"/>
          </w:tcPr>
          <w:p>
            <w:pPr>
              <w:pStyle w:val="26"/>
              <w:spacing w:line="360" w:lineRule="auto"/>
              <w:jc w:val="center"/>
              <w:rPr>
                <w:rFonts w:hAnsi="宋体"/>
                <w:color w:val="auto"/>
                <w:highlight w:val="none"/>
              </w:rPr>
            </w:pPr>
            <w:r>
              <w:rPr>
                <w:rFonts w:hint="eastAsia" w:hAnsi="宋体"/>
                <w:color w:val="auto"/>
                <w:highlight w:val="none"/>
              </w:rPr>
              <w:t>从事该行业年限</w:t>
            </w:r>
          </w:p>
        </w:tc>
        <w:tc>
          <w:tcPr>
            <w:tcW w:w="2314" w:type="dxa"/>
            <w:gridSpan w:val="2"/>
            <w:vAlign w:val="center"/>
          </w:tcPr>
          <w:p>
            <w:pPr>
              <w:pStyle w:val="26"/>
              <w:spacing w:line="360" w:lineRule="auto"/>
              <w:jc w:val="center"/>
              <w:rPr>
                <w:rFonts w:hAnsi="宋体"/>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3" w:type="dxa"/>
            <w:gridSpan w:val="2"/>
            <w:vAlign w:val="center"/>
          </w:tcPr>
          <w:p>
            <w:pPr>
              <w:pStyle w:val="26"/>
              <w:spacing w:line="360" w:lineRule="auto"/>
              <w:jc w:val="center"/>
              <w:rPr>
                <w:rFonts w:hAnsi="宋体"/>
                <w:color w:val="auto"/>
                <w:highlight w:val="none"/>
              </w:rPr>
            </w:pPr>
            <w:r>
              <w:rPr>
                <w:rFonts w:hint="eastAsia" w:hAnsi="宋体"/>
                <w:color w:val="auto"/>
                <w:highlight w:val="none"/>
              </w:rPr>
              <w:t>具有认证资格</w:t>
            </w:r>
          </w:p>
        </w:tc>
        <w:tc>
          <w:tcPr>
            <w:tcW w:w="7217" w:type="dxa"/>
            <w:gridSpan w:val="5"/>
            <w:vAlign w:val="center"/>
          </w:tcPr>
          <w:p>
            <w:pPr>
              <w:pStyle w:val="26"/>
              <w:spacing w:line="360" w:lineRule="auto"/>
              <w:jc w:val="center"/>
              <w:rPr>
                <w:rFonts w:hAnsi="宋体"/>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80" w:type="dxa"/>
            <w:gridSpan w:val="7"/>
            <w:vAlign w:val="center"/>
          </w:tcPr>
          <w:p>
            <w:pPr>
              <w:pStyle w:val="26"/>
              <w:spacing w:line="360" w:lineRule="auto"/>
              <w:jc w:val="center"/>
              <w:rPr>
                <w:rFonts w:hAnsi="宋体"/>
                <w:color w:val="auto"/>
                <w:highlight w:val="none"/>
              </w:rPr>
            </w:pPr>
            <w:r>
              <w:rPr>
                <w:rFonts w:hint="eastAsia" w:hAnsi="宋体"/>
                <w:color w:val="auto"/>
                <w:highlight w:val="none"/>
              </w:rPr>
              <w:t>已完成项目情况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3" w:type="dxa"/>
            <w:gridSpan w:val="2"/>
            <w:vAlign w:val="center"/>
          </w:tcPr>
          <w:p>
            <w:pPr>
              <w:pStyle w:val="26"/>
              <w:spacing w:line="360" w:lineRule="auto"/>
              <w:jc w:val="center"/>
              <w:rPr>
                <w:rFonts w:hAnsi="宋体"/>
                <w:color w:val="auto"/>
                <w:highlight w:val="none"/>
              </w:rPr>
            </w:pPr>
            <w:r>
              <w:rPr>
                <w:rFonts w:hint="eastAsia" w:hAnsi="宋体"/>
                <w:color w:val="auto"/>
                <w:highlight w:val="none"/>
              </w:rPr>
              <w:t>使用单位</w:t>
            </w:r>
          </w:p>
        </w:tc>
        <w:tc>
          <w:tcPr>
            <w:tcW w:w="1299" w:type="dxa"/>
            <w:vAlign w:val="center"/>
          </w:tcPr>
          <w:p>
            <w:pPr>
              <w:pStyle w:val="26"/>
              <w:spacing w:line="360" w:lineRule="auto"/>
              <w:jc w:val="center"/>
              <w:rPr>
                <w:rFonts w:hAnsi="宋体"/>
                <w:color w:val="auto"/>
                <w:highlight w:val="none"/>
              </w:rPr>
            </w:pPr>
            <w:r>
              <w:rPr>
                <w:rFonts w:hint="eastAsia" w:hAnsi="宋体"/>
                <w:color w:val="auto"/>
                <w:highlight w:val="none"/>
              </w:rPr>
              <w:t>项目名称</w:t>
            </w:r>
          </w:p>
        </w:tc>
        <w:tc>
          <w:tcPr>
            <w:tcW w:w="1357" w:type="dxa"/>
            <w:vAlign w:val="center"/>
          </w:tcPr>
          <w:p>
            <w:pPr>
              <w:pStyle w:val="26"/>
              <w:spacing w:line="360" w:lineRule="auto"/>
              <w:jc w:val="center"/>
              <w:rPr>
                <w:rFonts w:hAnsi="宋体"/>
                <w:color w:val="auto"/>
                <w:highlight w:val="none"/>
              </w:rPr>
            </w:pPr>
            <w:r>
              <w:rPr>
                <w:rFonts w:hint="eastAsia" w:hAnsi="宋体"/>
                <w:color w:val="auto"/>
                <w:highlight w:val="none"/>
              </w:rPr>
              <w:t>规模</w:t>
            </w:r>
          </w:p>
        </w:tc>
        <w:tc>
          <w:tcPr>
            <w:tcW w:w="2247" w:type="dxa"/>
            <w:vAlign w:val="center"/>
          </w:tcPr>
          <w:p>
            <w:pPr>
              <w:pStyle w:val="26"/>
              <w:spacing w:line="360" w:lineRule="auto"/>
              <w:jc w:val="center"/>
              <w:rPr>
                <w:rFonts w:hAnsi="宋体"/>
                <w:color w:val="auto"/>
                <w:highlight w:val="none"/>
              </w:rPr>
            </w:pPr>
            <w:r>
              <w:rPr>
                <w:rFonts w:hint="eastAsia" w:hAnsi="宋体"/>
                <w:color w:val="auto"/>
                <w:highlight w:val="none"/>
              </w:rPr>
              <w:t>竣工日期</w:t>
            </w:r>
          </w:p>
        </w:tc>
        <w:tc>
          <w:tcPr>
            <w:tcW w:w="2314" w:type="dxa"/>
            <w:gridSpan w:val="2"/>
            <w:vAlign w:val="center"/>
          </w:tcPr>
          <w:p>
            <w:pPr>
              <w:pStyle w:val="26"/>
              <w:spacing w:line="360" w:lineRule="auto"/>
              <w:jc w:val="center"/>
              <w:rPr>
                <w:rFonts w:hAnsi="宋体"/>
                <w:color w:val="auto"/>
                <w:highlight w:val="none"/>
              </w:rPr>
            </w:pPr>
            <w:r>
              <w:rPr>
                <w:rFonts w:hint="eastAsia" w:hAnsi="宋体"/>
                <w:color w:val="auto"/>
                <w:highlight w:val="none"/>
              </w:rPr>
              <w:t>项目质量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3" w:type="dxa"/>
            <w:gridSpan w:val="2"/>
            <w:vAlign w:val="center"/>
          </w:tcPr>
          <w:p>
            <w:pPr>
              <w:pStyle w:val="26"/>
              <w:spacing w:line="360" w:lineRule="auto"/>
              <w:jc w:val="center"/>
              <w:rPr>
                <w:rFonts w:hAnsi="宋体"/>
                <w:color w:val="auto"/>
                <w:highlight w:val="none"/>
              </w:rPr>
            </w:pPr>
          </w:p>
        </w:tc>
        <w:tc>
          <w:tcPr>
            <w:tcW w:w="1299" w:type="dxa"/>
            <w:vAlign w:val="center"/>
          </w:tcPr>
          <w:p>
            <w:pPr>
              <w:pStyle w:val="26"/>
              <w:spacing w:line="360" w:lineRule="auto"/>
              <w:jc w:val="center"/>
              <w:rPr>
                <w:rFonts w:hAnsi="宋体"/>
                <w:color w:val="auto"/>
                <w:highlight w:val="none"/>
              </w:rPr>
            </w:pPr>
          </w:p>
        </w:tc>
        <w:tc>
          <w:tcPr>
            <w:tcW w:w="1357" w:type="dxa"/>
            <w:vAlign w:val="center"/>
          </w:tcPr>
          <w:p>
            <w:pPr>
              <w:pStyle w:val="26"/>
              <w:spacing w:line="360" w:lineRule="auto"/>
              <w:jc w:val="center"/>
              <w:rPr>
                <w:rFonts w:hAnsi="宋体"/>
                <w:color w:val="auto"/>
                <w:highlight w:val="none"/>
              </w:rPr>
            </w:pPr>
          </w:p>
        </w:tc>
        <w:tc>
          <w:tcPr>
            <w:tcW w:w="2247" w:type="dxa"/>
            <w:vAlign w:val="center"/>
          </w:tcPr>
          <w:p>
            <w:pPr>
              <w:pStyle w:val="26"/>
              <w:spacing w:line="360" w:lineRule="auto"/>
              <w:jc w:val="center"/>
              <w:rPr>
                <w:rFonts w:hAnsi="宋体"/>
                <w:color w:val="auto"/>
                <w:highlight w:val="none"/>
              </w:rPr>
            </w:pPr>
          </w:p>
        </w:tc>
        <w:tc>
          <w:tcPr>
            <w:tcW w:w="2314" w:type="dxa"/>
            <w:gridSpan w:val="2"/>
            <w:vAlign w:val="center"/>
          </w:tcPr>
          <w:p>
            <w:pPr>
              <w:pStyle w:val="26"/>
              <w:spacing w:line="360" w:lineRule="auto"/>
              <w:jc w:val="center"/>
              <w:rPr>
                <w:rFonts w:hAnsi="宋体"/>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3" w:type="dxa"/>
            <w:gridSpan w:val="2"/>
            <w:vAlign w:val="center"/>
          </w:tcPr>
          <w:p>
            <w:pPr>
              <w:pStyle w:val="26"/>
              <w:spacing w:line="360" w:lineRule="auto"/>
              <w:jc w:val="center"/>
              <w:rPr>
                <w:rFonts w:hAnsi="宋体"/>
                <w:color w:val="auto"/>
                <w:highlight w:val="none"/>
              </w:rPr>
            </w:pPr>
          </w:p>
        </w:tc>
        <w:tc>
          <w:tcPr>
            <w:tcW w:w="1299" w:type="dxa"/>
            <w:vAlign w:val="center"/>
          </w:tcPr>
          <w:p>
            <w:pPr>
              <w:pStyle w:val="26"/>
              <w:spacing w:line="360" w:lineRule="auto"/>
              <w:jc w:val="center"/>
              <w:rPr>
                <w:rFonts w:hAnsi="宋体"/>
                <w:color w:val="auto"/>
                <w:highlight w:val="none"/>
              </w:rPr>
            </w:pPr>
          </w:p>
        </w:tc>
        <w:tc>
          <w:tcPr>
            <w:tcW w:w="1357" w:type="dxa"/>
            <w:vAlign w:val="center"/>
          </w:tcPr>
          <w:p>
            <w:pPr>
              <w:pStyle w:val="26"/>
              <w:spacing w:line="360" w:lineRule="auto"/>
              <w:jc w:val="center"/>
              <w:rPr>
                <w:rFonts w:hAnsi="宋体"/>
                <w:color w:val="auto"/>
                <w:highlight w:val="none"/>
              </w:rPr>
            </w:pPr>
          </w:p>
        </w:tc>
        <w:tc>
          <w:tcPr>
            <w:tcW w:w="2247" w:type="dxa"/>
            <w:vAlign w:val="center"/>
          </w:tcPr>
          <w:p>
            <w:pPr>
              <w:pStyle w:val="26"/>
              <w:spacing w:line="360" w:lineRule="auto"/>
              <w:jc w:val="center"/>
              <w:rPr>
                <w:rFonts w:hAnsi="宋体"/>
                <w:color w:val="auto"/>
                <w:highlight w:val="none"/>
              </w:rPr>
            </w:pPr>
          </w:p>
        </w:tc>
        <w:tc>
          <w:tcPr>
            <w:tcW w:w="2314" w:type="dxa"/>
            <w:gridSpan w:val="2"/>
            <w:vAlign w:val="center"/>
          </w:tcPr>
          <w:p>
            <w:pPr>
              <w:pStyle w:val="26"/>
              <w:spacing w:line="360" w:lineRule="auto"/>
              <w:jc w:val="center"/>
              <w:rPr>
                <w:rFonts w:hAnsi="宋体"/>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63" w:type="dxa"/>
            <w:gridSpan w:val="2"/>
            <w:vAlign w:val="center"/>
          </w:tcPr>
          <w:p>
            <w:pPr>
              <w:pStyle w:val="26"/>
              <w:spacing w:line="360" w:lineRule="auto"/>
              <w:jc w:val="center"/>
              <w:rPr>
                <w:rFonts w:hAnsi="宋体"/>
                <w:color w:val="auto"/>
                <w:highlight w:val="none"/>
              </w:rPr>
            </w:pPr>
          </w:p>
        </w:tc>
        <w:tc>
          <w:tcPr>
            <w:tcW w:w="1299" w:type="dxa"/>
            <w:vAlign w:val="center"/>
          </w:tcPr>
          <w:p>
            <w:pPr>
              <w:pStyle w:val="26"/>
              <w:spacing w:line="360" w:lineRule="auto"/>
              <w:jc w:val="center"/>
              <w:rPr>
                <w:rFonts w:hAnsi="宋体"/>
                <w:color w:val="auto"/>
                <w:highlight w:val="none"/>
              </w:rPr>
            </w:pPr>
          </w:p>
        </w:tc>
        <w:tc>
          <w:tcPr>
            <w:tcW w:w="1357" w:type="dxa"/>
            <w:vAlign w:val="center"/>
          </w:tcPr>
          <w:p>
            <w:pPr>
              <w:pStyle w:val="26"/>
              <w:spacing w:line="360" w:lineRule="auto"/>
              <w:jc w:val="center"/>
              <w:rPr>
                <w:rFonts w:hAnsi="宋体"/>
                <w:color w:val="auto"/>
                <w:highlight w:val="none"/>
              </w:rPr>
            </w:pPr>
          </w:p>
        </w:tc>
        <w:tc>
          <w:tcPr>
            <w:tcW w:w="2247" w:type="dxa"/>
            <w:vAlign w:val="center"/>
          </w:tcPr>
          <w:p>
            <w:pPr>
              <w:pStyle w:val="26"/>
              <w:spacing w:line="360" w:lineRule="auto"/>
              <w:jc w:val="center"/>
              <w:rPr>
                <w:rFonts w:hAnsi="宋体"/>
                <w:color w:val="auto"/>
                <w:highlight w:val="none"/>
              </w:rPr>
            </w:pPr>
          </w:p>
        </w:tc>
        <w:tc>
          <w:tcPr>
            <w:tcW w:w="2314" w:type="dxa"/>
            <w:gridSpan w:val="2"/>
            <w:tcBorders>
              <w:top w:val="nil"/>
            </w:tcBorders>
            <w:vAlign w:val="center"/>
          </w:tcPr>
          <w:p>
            <w:pPr>
              <w:pStyle w:val="26"/>
              <w:spacing w:line="360" w:lineRule="auto"/>
              <w:jc w:val="center"/>
              <w:rPr>
                <w:rFonts w:hAnsi="宋体"/>
                <w:color w:val="auto"/>
                <w:highlight w:val="none"/>
              </w:rPr>
            </w:pPr>
          </w:p>
        </w:tc>
      </w:tr>
    </w:tbl>
    <w:p>
      <w:pPr>
        <w:pStyle w:val="26"/>
        <w:spacing w:line="360" w:lineRule="auto"/>
        <w:rPr>
          <w:rFonts w:hAnsi="宋体"/>
          <w:color w:val="auto"/>
          <w:szCs w:val="21"/>
          <w:highlight w:val="none"/>
        </w:rPr>
      </w:pPr>
      <w:r>
        <w:rPr>
          <w:rFonts w:hint="eastAsia" w:hAnsi="宋体"/>
          <w:color w:val="auto"/>
          <w:szCs w:val="21"/>
          <w:highlight w:val="none"/>
        </w:rPr>
        <w:t>注：根据评分标准要求提供相应材料。</w:t>
      </w:r>
    </w:p>
    <w:p>
      <w:pPr>
        <w:pStyle w:val="26"/>
        <w:spacing w:line="360" w:lineRule="auto"/>
        <w:rPr>
          <w:rFonts w:hAnsi="宋体"/>
          <w:color w:val="auto"/>
          <w:sz w:val="24"/>
          <w:highlight w:val="none"/>
        </w:rPr>
      </w:pPr>
    </w:p>
    <w:p>
      <w:pPr>
        <w:pStyle w:val="26"/>
        <w:spacing w:line="360" w:lineRule="auto"/>
        <w:ind w:firstLine="420"/>
        <w:jc w:val="center"/>
        <w:rPr>
          <w:rFonts w:hAnsi="宋体"/>
          <w:b/>
          <w:color w:val="auto"/>
          <w:sz w:val="24"/>
          <w:szCs w:val="24"/>
          <w:highlight w:val="none"/>
        </w:rPr>
      </w:pPr>
      <w:r>
        <w:rPr>
          <w:rFonts w:hint="eastAsia" w:hAnsi="宋体"/>
          <w:b/>
          <w:color w:val="auto"/>
          <w:sz w:val="24"/>
          <w:szCs w:val="24"/>
          <w:highlight w:val="none"/>
        </w:rPr>
        <w:t>拟派驻本项目机构管理人员一览表</w:t>
      </w:r>
    </w:p>
    <w:tbl>
      <w:tblPr>
        <w:tblStyle w:val="4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6"/>
        <w:gridCol w:w="1161"/>
        <w:gridCol w:w="872"/>
        <w:gridCol w:w="867"/>
        <w:gridCol w:w="868"/>
        <w:gridCol w:w="868"/>
        <w:gridCol w:w="870"/>
        <w:gridCol w:w="1421"/>
        <w:gridCol w:w="14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6" w:type="dxa"/>
            <w:vAlign w:val="center"/>
          </w:tcPr>
          <w:p>
            <w:pPr>
              <w:pStyle w:val="26"/>
              <w:spacing w:line="360" w:lineRule="auto"/>
              <w:jc w:val="center"/>
              <w:rPr>
                <w:rFonts w:hAnsi="宋体"/>
                <w:color w:val="auto"/>
                <w:highlight w:val="none"/>
              </w:rPr>
            </w:pPr>
            <w:r>
              <w:rPr>
                <w:rFonts w:hint="eastAsia" w:hAnsi="宋体"/>
                <w:color w:val="auto"/>
                <w:highlight w:val="none"/>
              </w:rPr>
              <w:t>序号</w:t>
            </w:r>
          </w:p>
        </w:tc>
        <w:tc>
          <w:tcPr>
            <w:tcW w:w="1161" w:type="dxa"/>
            <w:vAlign w:val="center"/>
          </w:tcPr>
          <w:p>
            <w:pPr>
              <w:pStyle w:val="26"/>
              <w:spacing w:line="360" w:lineRule="auto"/>
              <w:jc w:val="center"/>
              <w:rPr>
                <w:rFonts w:hAnsi="宋体"/>
                <w:color w:val="auto"/>
                <w:highlight w:val="none"/>
              </w:rPr>
            </w:pPr>
            <w:r>
              <w:rPr>
                <w:rFonts w:hint="eastAsia" w:hAnsi="宋体"/>
                <w:color w:val="auto"/>
                <w:highlight w:val="none"/>
              </w:rPr>
              <w:t>姓名</w:t>
            </w:r>
          </w:p>
        </w:tc>
        <w:tc>
          <w:tcPr>
            <w:tcW w:w="872" w:type="dxa"/>
            <w:vAlign w:val="center"/>
          </w:tcPr>
          <w:p>
            <w:pPr>
              <w:pStyle w:val="26"/>
              <w:spacing w:line="360" w:lineRule="auto"/>
              <w:jc w:val="center"/>
              <w:rPr>
                <w:rFonts w:hAnsi="宋体"/>
                <w:color w:val="auto"/>
                <w:highlight w:val="none"/>
              </w:rPr>
            </w:pPr>
            <w:r>
              <w:rPr>
                <w:rFonts w:hint="eastAsia" w:hAnsi="宋体"/>
                <w:color w:val="auto"/>
                <w:highlight w:val="none"/>
              </w:rPr>
              <w:t>性别</w:t>
            </w:r>
          </w:p>
        </w:tc>
        <w:tc>
          <w:tcPr>
            <w:tcW w:w="867" w:type="dxa"/>
            <w:vAlign w:val="center"/>
          </w:tcPr>
          <w:p>
            <w:pPr>
              <w:pStyle w:val="26"/>
              <w:spacing w:line="360" w:lineRule="auto"/>
              <w:jc w:val="center"/>
              <w:rPr>
                <w:rFonts w:hAnsi="宋体"/>
                <w:color w:val="auto"/>
                <w:highlight w:val="none"/>
              </w:rPr>
            </w:pPr>
            <w:r>
              <w:rPr>
                <w:rFonts w:hint="eastAsia" w:hAnsi="宋体"/>
                <w:color w:val="auto"/>
                <w:highlight w:val="none"/>
              </w:rPr>
              <w:t>年龄</w:t>
            </w:r>
          </w:p>
        </w:tc>
        <w:tc>
          <w:tcPr>
            <w:tcW w:w="868" w:type="dxa"/>
            <w:vAlign w:val="center"/>
          </w:tcPr>
          <w:p>
            <w:pPr>
              <w:pStyle w:val="26"/>
              <w:spacing w:line="360" w:lineRule="auto"/>
              <w:jc w:val="center"/>
              <w:rPr>
                <w:rFonts w:hAnsi="宋体"/>
                <w:color w:val="auto"/>
                <w:highlight w:val="none"/>
              </w:rPr>
            </w:pPr>
            <w:r>
              <w:rPr>
                <w:rFonts w:hint="eastAsia" w:hAnsi="宋体"/>
                <w:color w:val="auto"/>
                <w:highlight w:val="none"/>
              </w:rPr>
              <w:t>职称</w:t>
            </w:r>
          </w:p>
        </w:tc>
        <w:tc>
          <w:tcPr>
            <w:tcW w:w="868" w:type="dxa"/>
            <w:vAlign w:val="center"/>
          </w:tcPr>
          <w:p>
            <w:pPr>
              <w:pStyle w:val="26"/>
              <w:spacing w:line="360" w:lineRule="auto"/>
              <w:jc w:val="center"/>
              <w:rPr>
                <w:rFonts w:hAnsi="宋体"/>
                <w:color w:val="auto"/>
                <w:highlight w:val="none"/>
              </w:rPr>
            </w:pPr>
            <w:r>
              <w:rPr>
                <w:rFonts w:hint="eastAsia" w:hAnsi="宋体"/>
                <w:color w:val="auto"/>
                <w:highlight w:val="none"/>
              </w:rPr>
              <w:t>学历</w:t>
            </w:r>
          </w:p>
        </w:tc>
        <w:tc>
          <w:tcPr>
            <w:tcW w:w="870" w:type="dxa"/>
            <w:vAlign w:val="center"/>
          </w:tcPr>
          <w:p>
            <w:pPr>
              <w:pStyle w:val="26"/>
              <w:spacing w:line="360" w:lineRule="auto"/>
              <w:jc w:val="center"/>
              <w:rPr>
                <w:rFonts w:hAnsi="宋体"/>
                <w:color w:val="auto"/>
                <w:highlight w:val="none"/>
              </w:rPr>
            </w:pPr>
            <w:r>
              <w:rPr>
                <w:rFonts w:hint="eastAsia" w:hAnsi="宋体"/>
                <w:color w:val="auto"/>
                <w:highlight w:val="none"/>
              </w:rPr>
              <w:t>专业</w:t>
            </w:r>
          </w:p>
        </w:tc>
        <w:tc>
          <w:tcPr>
            <w:tcW w:w="1421" w:type="dxa"/>
            <w:vAlign w:val="center"/>
          </w:tcPr>
          <w:p>
            <w:pPr>
              <w:pStyle w:val="26"/>
              <w:spacing w:line="360" w:lineRule="auto"/>
              <w:jc w:val="center"/>
              <w:rPr>
                <w:rFonts w:hAnsi="宋体"/>
                <w:color w:val="auto"/>
                <w:highlight w:val="none"/>
              </w:rPr>
            </w:pPr>
            <w:r>
              <w:rPr>
                <w:rFonts w:hint="eastAsia" w:hAnsi="宋体"/>
                <w:color w:val="auto"/>
                <w:highlight w:val="none"/>
              </w:rPr>
              <w:t>经验年限</w:t>
            </w:r>
          </w:p>
        </w:tc>
        <w:tc>
          <w:tcPr>
            <w:tcW w:w="1417" w:type="dxa"/>
            <w:vAlign w:val="center"/>
          </w:tcPr>
          <w:p>
            <w:pPr>
              <w:pStyle w:val="26"/>
              <w:spacing w:line="360" w:lineRule="auto"/>
              <w:jc w:val="center"/>
              <w:rPr>
                <w:rFonts w:hAnsi="宋体"/>
                <w:color w:val="auto"/>
                <w:highlight w:val="none"/>
              </w:rPr>
            </w:pPr>
            <w:r>
              <w:rPr>
                <w:rFonts w:hint="eastAsia" w:hAnsi="宋体"/>
                <w:color w:val="auto"/>
                <w:highlight w:val="none"/>
              </w:rPr>
              <w:t>拟担任职务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6" w:type="dxa"/>
            <w:vAlign w:val="center"/>
          </w:tcPr>
          <w:p>
            <w:pPr>
              <w:pStyle w:val="26"/>
              <w:spacing w:line="360" w:lineRule="auto"/>
              <w:jc w:val="center"/>
              <w:rPr>
                <w:rFonts w:hAnsi="宋体"/>
                <w:color w:val="auto"/>
                <w:highlight w:val="none"/>
              </w:rPr>
            </w:pPr>
          </w:p>
        </w:tc>
        <w:tc>
          <w:tcPr>
            <w:tcW w:w="1161" w:type="dxa"/>
            <w:vAlign w:val="center"/>
          </w:tcPr>
          <w:p>
            <w:pPr>
              <w:pStyle w:val="26"/>
              <w:spacing w:line="360" w:lineRule="auto"/>
              <w:jc w:val="center"/>
              <w:rPr>
                <w:rFonts w:hAnsi="宋体"/>
                <w:color w:val="auto"/>
                <w:highlight w:val="none"/>
              </w:rPr>
            </w:pPr>
          </w:p>
        </w:tc>
        <w:tc>
          <w:tcPr>
            <w:tcW w:w="872" w:type="dxa"/>
            <w:vAlign w:val="center"/>
          </w:tcPr>
          <w:p>
            <w:pPr>
              <w:pStyle w:val="26"/>
              <w:spacing w:line="360" w:lineRule="auto"/>
              <w:jc w:val="center"/>
              <w:rPr>
                <w:rFonts w:hAnsi="宋体"/>
                <w:color w:val="auto"/>
                <w:highlight w:val="none"/>
              </w:rPr>
            </w:pPr>
          </w:p>
        </w:tc>
        <w:tc>
          <w:tcPr>
            <w:tcW w:w="867" w:type="dxa"/>
            <w:vAlign w:val="center"/>
          </w:tcPr>
          <w:p>
            <w:pPr>
              <w:pStyle w:val="26"/>
              <w:spacing w:line="360" w:lineRule="auto"/>
              <w:jc w:val="center"/>
              <w:rPr>
                <w:rFonts w:hAnsi="宋体"/>
                <w:color w:val="auto"/>
                <w:highlight w:val="none"/>
              </w:rPr>
            </w:pPr>
          </w:p>
        </w:tc>
        <w:tc>
          <w:tcPr>
            <w:tcW w:w="868" w:type="dxa"/>
            <w:vAlign w:val="center"/>
          </w:tcPr>
          <w:p>
            <w:pPr>
              <w:pStyle w:val="26"/>
              <w:spacing w:line="360" w:lineRule="auto"/>
              <w:jc w:val="center"/>
              <w:rPr>
                <w:rFonts w:hAnsi="宋体"/>
                <w:color w:val="auto"/>
                <w:highlight w:val="none"/>
              </w:rPr>
            </w:pPr>
          </w:p>
        </w:tc>
        <w:tc>
          <w:tcPr>
            <w:tcW w:w="868" w:type="dxa"/>
            <w:vAlign w:val="center"/>
          </w:tcPr>
          <w:p>
            <w:pPr>
              <w:pStyle w:val="26"/>
              <w:spacing w:line="360" w:lineRule="auto"/>
              <w:jc w:val="center"/>
              <w:rPr>
                <w:rFonts w:hAnsi="宋体"/>
                <w:color w:val="auto"/>
                <w:highlight w:val="none"/>
              </w:rPr>
            </w:pPr>
          </w:p>
        </w:tc>
        <w:tc>
          <w:tcPr>
            <w:tcW w:w="870" w:type="dxa"/>
            <w:vAlign w:val="center"/>
          </w:tcPr>
          <w:p>
            <w:pPr>
              <w:pStyle w:val="26"/>
              <w:spacing w:line="360" w:lineRule="auto"/>
              <w:jc w:val="center"/>
              <w:rPr>
                <w:rFonts w:hAnsi="宋体"/>
                <w:color w:val="auto"/>
                <w:highlight w:val="none"/>
              </w:rPr>
            </w:pPr>
          </w:p>
        </w:tc>
        <w:tc>
          <w:tcPr>
            <w:tcW w:w="1421" w:type="dxa"/>
            <w:vAlign w:val="center"/>
          </w:tcPr>
          <w:p>
            <w:pPr>
              <w:pStyle w:val="26"/>
              <w:spacing w:line="360" w:lineRule="auto"/>
              <w:jc w:val="center"/>
              <w:rPr>
                <w:rFonts w:hAnsi="宋体"/>
                <w:color w:val="auto"/>
                <w:highlight w:val="none"/>
              </w:rPr>
            </w:pPr>
          </w:p>
        </w:tc>
        <w:tc>
          <w:tcPr>
            <w:tcW w:w="1417" w:type="dxa"/>
            <w:vAlign w:val="center"/>
          </w:tcPr>
          <w:p>
            <w:pPr>
              <w:pStyle w:val="26"/>
              <w:spacing w:line="360" w:lineRule="auto"/>
              <w:jc w:val="center"/>
              <w:rPr>
                <w:rFonts w:hAnsi="宋体"/>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6" w:type="dxa"/>
            <w:vAlign w:val="center"/>
          </w:tcPr>
          <w:p>
            <w:pPr>
              <w:pStyle w:val="26"/>
              <w:spacing w:line="360" w:lineRule="auto"/>
              <w:jc w:val="center"/>
              <w:rPr>
                <w:rFonts w:hAnsi="宋体"/>
                <w:color w:val="auto"/>
                <w:highlight w:val="none"/>
              </w:rPr>
            </w:pPr>
          </w:p>
        </w:tc>
        <w:tc>
          <w:tcPr>
            <w:tcW w:w="1161" w:type="dxa"/>
            <w:vAlign w:val="center"/>
          </w:tcPr>
          <w:p>
            <w:pPr>
              <w:pStyle w:val="26"/>
              <w:spacing w:line="360" w:lineRule="auto"/>
              <w:jc w:val="center"/>
              <w:rPr>
                <w:rFonts w:hAnsi="宋体"/>
                <w:color w:val="auto"/>
                <w:highlight w:val="none"/>
              </w:rPr>
            </w:pPr>
          </w:p>
        </w:tc>
        <w:tc>
          <w:tcPr>
            <w:tcW w:w="872" w:type="dxa"/>
            <w:vAlign w:val="center"/>
          </w:tcPr>
          <w:p>
            <w:pPr>
              <w:pStyle w:val="26"/>
              <w:spacing w:line="360" w:lineRule="auto"/>
              <w:jc w:val="center"/>
              <w:rPr>
                <w:rFonts w:hAnsi="宋体"/>
                <w:color w:val="auto"/>
                <w:highlight w:val="none"/>
              </w:rPr>
            </w:pPr>
          </w:p>
        </w:tc>
        <w:tc>
          <w:tcPr>
            <w:tcW w:w="867" w:type="dxa"/>
            <w:vAlign w:val="center"/>
          </w:tcPr>
          <w:p>
            <w:pPr>
              <w:pStyle w:val="26"/>
              <w:spacing w:line="360" w:lineRule="auto"/>
              <w:jc w:val="center"/>
              <w:rPr>
                <w:rFonts w:hAnsi="宋体"/>
                <w:color w:val="auto"/>
                <w:highlight w:val="none"/>
              </w:rPr>
            </w:pPr>
          </w:p>
        </w:tc>
        <w:tc>
          <w:tcPr>
            <w:tcW w:w="868" w:type="dxa"/>
            <w:vAlign w:val="center"/>
          </w:tcPr>
          <w:p>
            <w:pPr>
              <w:pStyle w:val="26"/>
              <w:spacing w:line="360" w:lineRule="auto"/>
              <w:jc w:val="center"/>
              <w:rPr>
                <w:rFonts w:hAnsi="宋体"/>
                <w:color w:val="auto"/>
                <w:highlight w:val="none"/>
              </w:rPr>
            </w:pPr>
          </w:p>
        </w:tc>
        <w:tc>
          <w:tcPr>
            <w:tcW w:w="868" w:type="dxa"/>
            <w:vAlign w:val="center"/>
          </w:tcPr>
          <w:p>
            <w:pPr>
              <w:pStyle w:val="26"/>
              <w:spacing w:line="360" w:lineRule="auto"/>
              <w:jc w:val="center"/>
              <w:rPr>
                <w:rFonts w:hAnsi="宋体"/>
                <w:color w:val="auto"/>
                <w:highlight w:val="none"/>
              </w:rPr>
            </w:pPr>
          </w:p>
        </w:tc>
        <w:tc>
          <w:tcPr>
            <w:tcW w:w="870" w:type="dxa"/>
            <w:vAlign w:val="center"/>
          </w:tcPr>
          <w:p>
            <w:pPr>
              <w:pStyle w:val="26"/>
              <w:spacing w:line="360" w:lineRule="auto"/>
              <w:jc w:val="center"/>
              <w:rPr>
                <w:rFonts w:hAnsi="宋体"/>
                <w:color w:val="auto"/>
                <w:highlight w:val="none"/>
              </w:rPr>
            </w:pPr>
          </w:p>
        </w:tc>
        <w:tc>
          <w:tcPr>
            <w:tcW w:w="1421" w:type="dxa"/>
            <w:vAlign w:val="center"/>
          </w:tcPr>
          <w:p>
            <w:pPr>
              <w:pStyle w:val="26"/>
              <w:spacing w:line="360" w:lineRule="auto"/>
              <w:jc w:val="center"/>
              <w:rPr>
                <w:rFonts w:hAnsi="宋体"/>
                <w:color w:val="auto"/>
                <w:highlight w:val="none"/>
              </w:rPr>
            </w:pPr>
          </w:p>
        </w:tc>
        <w:tc>
          <w:tcPr>
            <w:tcW w:w="1417" w:type="dxa"/>
            <w:vAlign w:val="center"/>
          </w:tcPr>
          <w:p>
            <w:pPr>
              <w:pStyle w:val="26"/>
              <w:spacing w:line="360" w:lineRule="auto"/>
              <w:jc w:val="center"/>
              <w:rPr>
                <w:rFonts w:hAnsi="宋体"/>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6" w:type="dxa"/>
            <w:vAlign w:val="center"/>
          </w:tcPr>
          <w:p>
            <w:pPr>
              <w:pStyle w:val="26"/>
              <w:spacing w:line="360" w:lineRule="auto"/>
              <w:jc w:val="center"/>
              <w:rPr>
                <w:rFonts w:hAnsi="宋体"/>
                <w:color w:val="auto"/>
                <w:highlight w:val="none"/>
              </w:rPr>
            </w:pPr>
          </w:p>
        </w:tc>
        <w:tc>
          <w:tcPr>
            <w:tcW w:w="1161" w:type="dxa"/>
            <w:vAlign w:val="center"/>
          </w:tcPr>
          <w:p>
            <w:pPr>
              <w:pStyle w:val="26"/>
              <w:spacing w:line="360" w:lineRule="auto"/>
              <w:jc w:val="center"/>
              <w:rPr>
                <w:rFonts w:hAnsi="宋体"/>
                <w:color w:val="auto"/>
                <w:highlight w:val="none"/>
              </w:rPr>
            </w:pPr>
          </w:p>
        </w:tc>
        <w:tc>
          <w:tcPr>
            <w:tcW w:w="872" w:type="dxa"/>
            <w:vAlign w:val="center"/>
          </w:tcPr>
          <w:p>
            <w:pPr>
              <w:pStyle w:val="26"/>
              <w:spacing w:line="360" w:lineRule="auto"/>
              <w:jc w:val="center"/>
              <w:rPr>
                <w:rFonts w:hAnsi="宋体"/>
                <w:color w:val="auto"/>
                <w:highlight w:val="none"/>
              </w:rPr>
            </w:pPr>
          </w:p>
        </w:tc>
        <w:tc>
          <w:tcPr>
            <w:tcW w:w="867" w:type="dxa"/>
            <w:vAlign w:val="center"/>
          </w:tcPr>
          <w:p>
            <w:pPr>
              <w:pStyle w:val="26"/>
              <w:spacing w:line="360" w:lineRule="auto"/>
              <w:jc w:val="center"/>
              <w:rPr>
                <w:rFonts w:hAnsi="宋体"/>
                <w:color w:val="auto"/>
                <w:highlight w:val="none"/>
              </w:rPr>
            </w:pPr>
          </w:p>
        </w:tc>
        <w:tc>
          <w:tcPr>
            <w:tcW w:w="868" w:type="dxa"/>
            <w:vAlign w:val="center"/>
          </w:tcPr>
          <w:p>
            <w:pPr>
              <w:pStyle w:val="26"/>
              <w:spacing w:line="360" w:lineRule="auto"/>
              <w:jc w:val="center"/>
              <w:rPr>
                <w:rFonts w:hAnsi="宋体"/>
                <w:color w:val="auto"/>
                <w:highlight w:val="none"/>
              </w:rPr>
            </w:pPr>
          </w:p>
        </w:tc>
        <w:tc>
          <w:tcPr>
            <w:tcW w:w="868" w:type="dxa"/>
            <w:vAlign w:val="center"/>
          </w:tcPr>
          <w:p>
            <w:pPr>
              <w:pStyle w:val="26"/>
              <w:spacing w:line="360" w:lineRule="auto"/>
              <w:jc w:val="center"/>
              <w:rPr>
                <w:rFonts w:hAnsi="宋体"/>
                <w:color w:val="auto"/>
                <w:highlight w:val="none"/>
              </w:rPr>
            </w:pPr>
          </w:p>
        </w:tc>
        <w:tc>
          <w:tcPr>
            <w:tcW w:w="870" w:type="dxa"/>
            <w:vAlign w:val="center"/>
          </w:tcPr>
          <w:p>
            <w:pPr>
              <w:pStyle w:val="26"/>
              <w:spacing w:line="360" w:lineRule="auto"/>
              <w:jc w:val="center"/>
              <w:rPr>
                <w:rFonts w:hAnsi="宋体"/>
                <w:color w:val="auto"/>
                <w:highlight w:val="none"/>
              </w:rPr>
            </w:pPr>
          </w:p>
        </w:tc>
        <w:tc>
          <w:tcPr>
            <w:tcW w:w="1421" w:type="dxa"/>
            <w:vAlign w:val="center"/>
          </w:tcPr>
          <w:p>
            <w:pPr>
              <w:pStyle w:val="26"/>
              <w:spacing w:line="360" w:lineRule="auto"/>
              <w:jc w:val="center"/>
              <w:rPr>
                <w:rFonts w:hAnsi="宋体"/>
                <w:color w:val="auto"/>
                <w:highlight w:val="none"/>
              </w:rPr>
            </w:pPr>
          </w:p>
        </w:tc>
        <w:tc>
          <w:tcPr>
            <w:tcW w:w="1417" w:type="dxa"/>
            <w:vAlign w:val="center"/>
          </w:tcPr>
          <w:p>
            <w:pPr>
              <w:pStyle w:val="26"/>
              <w:spacing w:line="360" w:lineRule="auto"/>
              <w:jc w:val="center"/>
              <w:rPr>
                <w:rFonts w:hAnsi="宋体"/>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6" w:type="dxa"/>
            <w:vAlign w:val="center"/>
          </w:tcPr>
          <w:p>
            <w:pPr>
              <w:pStyle w:val="26"/>
              <w:spacing w:line="360" w:lineRule="auto"/>
              <w:jc w:val="center"/>
              <w:rPr>
                <w:rFonts w:hAnsi="宋体"/>
                <w:color w:val="auto"/>
                <w:highlight w:val="none"/>
              </w:rPr>
            </w:pPr>
          </w:p>
        </w:tc>
        <w:tc>
          <w:tcPr>
            <w:tcW w:w="1161" w:type="dxa"/>
            <w:vAlign w:val="center"/>
          </w:tcPr>
          <w:p>
            <w:pPr>
              <w:pStyle w:val="26"/>
              <w:spacing w:line="360" w:lineRule="auto"/>
              <w:jc w:val="center"/>
              <w:rPr>
                <w:rFonts w:hAnsi="宋体"/>
                <w:color w:val="auto"/>
                <w:highlight w:val="none"/>
              </w:rPr>
            </w:pPr>
          </w:p>
        </w:tc>
        <w:tc>
          <w:tcPr>
            <w:tcW w:w="872" w:type="dxa"/>
            <w:vAlign w:val="center"/>
          </w:tcPr>
          <w:p>
            <w:pPr>
              <w:pStyle w:val="26"/>
              <w:spacing w:line="360" w:lineRule="auto"/>
              <w:jc w:val="center"/>
              <w:rPr>
                <w:rFonts w:hAnsi="宋体"/>
                <w:color w:val="auto"/>
                <w:highlight w:val="none"/>
              </w:rPr>
            </w:pPr>
          </w:p>
        </w:tc>
        <w:tc>
          <w:tcPr>
            <w:tcW w:w="867" w:type="dxa"/>
            <w:vAlign w:val="center"/>
          </w:tcPr>
          <w:p>
            <w:pPr>
              <w:pStyle w:val="26"/>
              <w:spacing w:line="360" w:lineRule="auto"/>
              <w:jc w:val="center"/>
              <w:rPr>
                <w:rFonts w:hAnsi="宋体"/>
                <w:color w:val="auto"/>
                <w:highlight w:val="none"/>
              </w:rPr>
            </w:pPr>
          </w:p>
        </w:tc>
        <w:tc>
          <w:tcPr>
            <w:tcW w:w="868" w:type="dxa"/>
            <w:vAlign w:val="center"/>
          </w:tcPr>
          <w:p>
            <w:pPr>
              <w:pStyle w:val="26"/>
              <w:spacing w:line="360" w:lineRule="auto"/>
              <w:jc w:val="center"/>
              <w:rPr>
                <w:rFonts w:hAnsi="宋体"/>
                <w:color w:val="auto"/>
                <w:highlight w:val="none"/>
              </w:rPr>
            </w:pPr>
          </w:p>
        </w:tc>
        <w:tc>
          <w:tcPr>
            <w:tcW w:w="868" w:type="dxa"/>
            <w:vAlign w:val="center"/>
          </w:tcPr>
          <w:p>
            <w:pPr>
              <w:pStyle w:val="26"/>
              <w:spacing w:line="360" w:lineRule="auto"/>
              <w:jc w:val="center"/>
              <w:rPr>
                <w:rFonts w:hAnsi="宋体"/>
                <w:color w:val="auto"/>
                <w:highlight w:val="none"/>
              </w:rPr>
            </w:pPr>
          </w:p>
        </w:tc>
        <w:tc>
          <w:tcPr>
            <w:tcW w:w="870" w:type="dxa"/>
            <w:vAlign w:val="center"/>
          </w:tcPr>
          <w:p>
            <w:pPr>
              <w:pStyle w:val="26"/>
              <w:spacing w:line="360" w:lineRule="auto"/>
              <w:jc w:val="center"/>
              <w:rPr>
                <w:rFonts w:hAnsi="宋体"/>
                <w:color w:val="auto"/>
                <w:highlight w:val="none"/>
              </w:rPr>
            </w:pPr>
          </w:p>
        </w:tc>
        <w:tc>
          <w:tcPr>
            <w:tcW w:w="1421" w:type="dxa"/>
            <w:vAlign w:val="center"/>
          </w:tcPr>
          <w:p>
            <w:pPr>
              <w:pStyle w:val="26"/>
              <w:spacing w:line="360" w:lineRule="auto"/>
              <w:jc w:val="center"/>
              <w:rPr>
                <w:rFonts w:hAnsi="宋体"/>
                <w:color w:val="auto"/>
                <w:highlight w:val="none"/>
              </w:rPr>
            </w:pPr>
          </w:p>
        </w:tc>
        <w:tc>
          <w:tcPr>
            <w:tcW w:w="1417" w:type="dxa"/>
            <w:vAlign w:val="center"/>
          </w:tcPr>
          <w:p>
            <w:pPr>
              <w:pStyle w:val="26"/>
              <w:spacing w:line="360" w:lineRule="auto"/>
              <w:jc w:val="center"/>
              <w:rPr>
                <w:rFonts w:hAnsi="宋体"/>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6" w:type="dxa"/>
            <w:vAlign w:val="center"/>
          </w:tcPr>
          <w:p>
            <w:pPr>
              <w:pStyle w:val="26"/>
              <w:spacing w:line="360" w:lineRule="auto"/>
              <w:jc w:val="center"/>
              <w:rPr>
                <w:rFonts w:hAnsi="宋体"/>
                <w:color w:val="auto"/>
                <w:highlight w:val="none"/>
              </w:rPr>
            </w:pPr>
          </w:p>
        </w:tc>
        <w:tc>
          <w:tcPr>
            <w:tcW w:w="1161" w:type="dxa"/>
            <w:vAlign w:val="center"/>
          </w:tcPr>
          <w:p>
            <w:pPr>
              <w:pStyle w:val="26"/>
              <w:spacing w:line="360" w:lineRule="auto"/>
              <w:jc w:val="center"/>
              <w:rPr>
                <w:rFonts w:hAnsi="宋体"/>
                <w:color w:val="auto"/>
                <w:highlight w:val="none"/>
              </w:rPr>
            </w:pPr>
          </w:p>
        </w:tc>
        <w:tc>
          <w:tcPr>
            <w:tcW w:w="872" w:type="dxa"/>
            <w:vAlign w:val="center"/>
          </w:tcPr>
          <w:p>
            <w:pPr>
              <w:pStyle w:val="26"/>
              <w:spacing w:line="360" w:lineRule="auto"/>
              <w:jc w:val="center"/>
              <w:rPr>
                <w:rFonts w:hAnsi="宋体"/>
                <w:color w:val="auto"/>
                <w:highlight w:val="none"/>
              </w:rPr>
            </w:pPr>
          </w:p>
        </w:tc>
        <w:tc>
          <w:tcPr>
            <w:tcW w:w="867" w:type="dxa"/>
            <w:vAlign w:val="center"/>
          </w:tcPr>
          <w:p>
            <w:pPr>
              <w:pStyle w:val="26"/>
              <w:spacing w:line="360" w:lineRule="auto"/>
              <w:jc w:val="center"/>
              <w:rPr>
                <w:rFonts w:hAnsi="宋体"/>
                <w:color w:val="auto"/>
                <w:highlight w:val="none"/>
              </w:rPr>
            </w:pPr>
          </w:p>
        </w:tc>
        <w:tc>
          <w:tcPr>
            <w:tcW w:w="868" w:type="dxa"/>
            <w:vAlign w:val="center"/>
          </w:tcPr>
          <w:p>
            <w:pPr>
              <w:pStyle w:val="26"/>
              <w:spacing w:line="360" w:lineRule="auto"/>
              <w:jc w:val="center"/>
              <w:rPr>
                <w:rFonts w:hAnsi="宋体"/>
                <w:color w:val="auto"/>
                <w:highlight w:val="none"/>
              </w:rPr>
            </w:pPr>
          </w:p>
        </w:tc>
        <w:tc>
          <w:tcPr>
            <w:tcW w:w="868" w:type="dxa"/>
            <w:vAlign w:val="center"/>
          </w:tcPr>
          <w:p>
            <w:pPr>
              <w:pStyle w:val="26"/>
              <w:spacing w:line="360" w:lineRule="auto"/>
              <w:jc w:val="center"/>
              <w:rPr>
                <w:rFonts w:hAnsi="宋体"/>
                <w:color w:val="auto"/>
                <w:highlight w:val="none"/>
              </w:rPr>
            </w:pPr>
          </w:p>
        </w:tc>
        <w:tc>
          <w:tcPr>
            <w:tcW w:w="870" w:type="dxa"/>
            <w:vAlign w:val="center"/>
          </w:tcPr>
          <w:p>
            <w:pPr>
              <w:pStyle w:val="26"/>
              <w:spacing w:line="360" w:lineRule="auto"/>
              <w:jc w:val="center"/>
              <w:rPr>
                <w:rFonts w:hAnsi="宋体"/>
                <w:color w:val="auto"/>
                <w:highlight w:val="none"/>
              </w:rPr>
            </w:pPr>
          </w:p>
        </w:tc>
        <w:tc>
          <w:tcPr>
            <w:tcW w:w="1421" w:type="dxa"/>
            <w:vAlign w:val="center"/>
          </w:tcPr>
          <w:p>
            <w:pPr>
              <w:pStyle w:val="26"/>
              <w:spacing w:line="360" w:lineRule="auto"/>
              <w:jc w:val="center"/>
              <w:rPr>
                <w:rFonts w:hAnsi="宋体"/>
                <w:color w:val="auto"/>
                <w:highlight w:val="none"/>
              </w:rPr>
            </w:pPr>
          </w:p>
        </w:tc>
        <w:tc>
          <w:tcPr>
            <w:tcW w:w="1417" w:type="dxa"/>
            <w:vAlign w:val="center"/>
          </w:tcPr>
          <w:p>
            <w:pPr>
              <w:pStyle w:val="26"/>
              <w:spacing w:line="360" w:lineRule="auto"/>
              <w:jc w:val="center"/>
              <w:rPr>
                <w:rFonts w:hAnsi="宋体"/>
                <w:color w:val="auto"/>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6" w:type="dxa"/>
            <w:vAlign w:val="center"/>
          </w:tcPr>
          <w:p>
            <w:pPr>
              <w:pStyle w:val="26"/>
              <w:spacing w:line="360" w:lineRule="auto"/>
              <w:jc w:val="center"/>
              <w:rPr>
                <w:rFonts w:hAnsi="宋体"/>
                <w:color w:val="auto"/>
                <w:highlight w:val="none"/>
              </w:rPr>
            </w:pPr>
          </w:p>
        </w:tc>
        <w:tc>
          <w:tcPr>
            <w:tcW w:w="1161" w:type="dxa"/>
            <w:vAlign w:val="center"/>
          </w:tcPr>
          <w:p>
            <w:pPr>
              <w:pStyle w:val="26"/>
              <w:spacing w:line="360" w:lineRule="auto"/>
              <w:jc w:val="center"/>
              <w:rPr>
                <w:rFonts w:hAnsi="宋体"/>
                <w:color w:val="auto"/>
                <w:highlight w:val="none"/>
              </w:rPr>
            </w:pPr>
          </w:p>
        </w:tc>
        <w:tc>
          <w:tcPr>
            <w:tcW w:w="872" w:type="dxa"/>
            <w:vAlign w:val="center"/>
          </w:tcPr>
          <w:p>
            <w:pPr>
              <w:pStyle w:val="26"/>
              <w:spacing w:line="360" w:lineRule="auto"/>
              <w:jc w:val="center"/>
              <w:rPr>
                <w:rFonts w:hAnsi="宋体"/>
                <w:color w:val="auto"/>
                <w:highlight w:val="none"/>
              </w:rPr>
            </w:pPr>
          </w:p>
        </w:tc>
        <w:tc>
          <w:tcPr>
            <w:tcW w:w="867" w:type="dxa"/>
            <w:vAlign w:val="center"/>
          </w:tcPr>
          <w:p>
            <w:pPr>
              <w:pStyle w:val="26"/>
              <w:spacing w:line="360" w:lineRule="auto"/>
              <w:jc w:val="center"/>
              <w:rPr>
                <w:rFonts w:hAnsi="宋体"/>
                <w:color w:val="auto"/>
                <w:highlight w:val="none"/>
              </w:rPr>
            </w:pPr>
          </w:p>
        </w:tc>
        <w:tc>
          <w:tcPr>
            <w:tcW w:w="868" w:type="dxa"/>
            <w:vAlign w:val="center"/>
          </w:tcPr>
          <w:p>
            <w:pPr>
              <w:pStyle w:val="26"/>
              <w:spacing w:line="360" w:lineRule="auto"/>
              <w:jc w:val="center"/>
              <w:rPr>
                <w:rFonts w:hAnsi="宋体"/>
                <w:color w:val="auto"/>
                <w:highlight w:val="none"/>
              </w:rPr>
            </w:pPr>
          </w:p>
        </w:tc>
        <w:tc>
          <w:tcPr>
            <w:tcW w:w="868" w:type="dxa"/>
            <w:vAlign w:val="center"/>
          </w:tcPr>
          <w:p>
            <w:pPr>
              <w:pStyle w:val="26"/>
              <w:spacing w:line="360" w:lineRule="auto"/>
              <w:jc w:val="center"/>
              <w:rPr>
                <w:rFonts w:hAnsi="宋体"/>
                <w:color w:val="auto"/>
                <w:highlight w:val="none"/>
              </w:rPr>
            </w:pPr>
          </w:p>
        </w:tc>
        <w:tc>
          <w:tcPr>
            <w:tcW w:w="870" w:type="dxa"/>
            <w:vAlign w:val="center"/>
          </w:tcPr>
          <w:p>
            <w:pPr>
              <w:pStyle w:val="26"/>
              <w:spacing w:line="360" w:lineRule="auto"/>
              <w:jc w:val="center"/>
              <w:rPr>
                <w:rFonts w:hAnsi="宋体"/>
                <w:color w:val="auto"/>
                <w:highlight w:val="none"/>
              </w:rPr>
            </w:pPr>
          </w:p>
        </w:tc>
        <w:tc>
          <w:tcPr>
            <w:tcW w:w="1421" w:type="dxa"/>
            <w:vAlign w:val="center"/>
          </w:tcPr>
          <w:p>
            <w:pPr>
              <w:pStyle w:val="26"/>
              <w:spacing w:line="360" w:lineRule="auto"/>
              <w:jc w:val="center"/>
              <w:rPr>
                <w:rFonts w:hAnsi="宋体"/>
                <w:color w:val="auto"/>
                <w:highlight w:val="none"/>
              </w:rPr>
            </w:pPr>
          </w:p>
        </w:tc>
        <w:tc>
          <w:tcPr>
            <w:tcW w:w="1417" w:type="dxa"/>
            <w:vAlign w:val="center"/>
          </w:tcPr>
          <w:p>
            <w:pPr>
              <w:pStyle w:val="26"/>
              <w:spacing w:line="360" w:lineRule="auto"/>
              <w:jc w:val="center"/>
              <w:rPr>
                <w:rFonts w:hAnsi="宋体"/>
                <w:color w:val="auto"/>
                <w:highlight w:val="none"/>
              </w:rPr>
            </w:pPr>
          </w:p>
        </w:tc>
      </w:tr>
    </w:tbl>
    <w:p>
      <w:pPr>
        <w:pStyle w:val="26"/>
        <w:spacing w:line="360" w:lineRule="auto"/>
        <w:rPr>
          <w:rFonts w:hAnsi="宋体"/>
          <w:b/>
          <w:color w:val="auto"/>
          <w:highlight w:val="none"/>
        </w:rPr>
      </w:pPr>
      <w:r>
        <w:rPr>
          <w:rFonts w:hint="eastAsia" w:hAnsi="宋体"/>
          <w:color w:val="auto"/>
          <w:szCs w:val="21"/>
          <w:highlight w:val="none"/>
        </w:rPr>
        <w:t>注：根据评分标准要求提供相应材料。</w:t>
      </w:r>
    </w:p>
    <w:p>
      <w:pPr>
        <w:pStyle w:val="26"/>
        <w:spacing w:line="360" w:lineRule="auto"/>
        <w:ind w:firstLine="420"/>
        <w:rPr>
          <w:rFonts w:hAnsi="宋体"/>
          <w:color w:val="auto"/>
          <w:highlight w:val="none"/>
        </w:rPr>
      </w:pPr>
    </w:p>
    <w:p>
      <w:pPr>
        <w:pStyle w:val="4"/>
        <w:pageBreakBefore/>
        <w:numPr>
          <w:ilvl w:val="1"/>
          <w:numId w:val="30"/>
        </w:numPr>
        <w:spacing w:line="360" w:lineRule="auto"/>
        <w:ind w:left="0" w:firstLine="0"/>
        <w:jc w:val="center"/>
        <w:rPr>
          <w:rFonts w:hAnsi="宋体"/>
          <w:b/>
          <w:color w:val="auto"/>
          <w:highlight w:val="none"/>
        </w:rPr>
      </w:pPr>
      <w:bookmarkStart w:id="141" w:name="_Toc26870"/>
      <w:r>
        <w:rPr>
          <w:rFonts w:hint="eastAsia" w:hAnsi="宋体"/>
          <w:b/>
          <w:color w:val="auto"/>
          <w:highlight w:val="none"/>
        </w:rPr>
        <w:t>其他资料</w:t>
      </w:r>
      <w:bookmarkEnd w:id="141"/>
    </w:p>
    <w:p>
      <w:pPr>
        <w:pStyle w:val="26"/>
        <w:spacing w:line="360" w:lineRule="auto"/>
        <w:ind w:firstLine="420"/>
        <w:rPr>
          <w:rFonts w:hAnsi="宋体"/>
          <w:color w:val="auto"/>
          <w:highlight w:val="none"/>
        </w:rPr>
      </w:pPr>
    </w:p>
    <w:p>
      <w:pPr>
        <w:spacing w:line="360" w:lineRule="auto"/>
        <w:rPr>
          <w:rFonts w:hAnsi="宋体"/>
          <w:color w:val="auto"/>
          <w:sz w:val="21"/>
          <w:szCs w:val="21"/>
          <w:highlight w:val="none"/>
        </w:rPr>
      </w:pPr>
      <w:r>
        <w:rPr>
          <w:rFonts w:hint="eastAsia" w:hAnsi="宋体"/>
          <w:color w:val="auto"/>
          <w:sz w:val="21"/>
          <w:szCs w:val="21"/>
          <w:highlight w:val="none"/>
        </w:rPr>
        <w:t>1、磋商文件要求提供的其他资料（如有）</w:t>
      </w:r>
    </w:p>
    <w:p>
      <w:pPr>
        <w:spacing w:line="360" w:lineRule="auto"/>
        <w:rPr>
          <w:rFonts w:hAnsi="宋体"/>
          <w:color w:val="auto"/>
          <w:sz w:val="21"/>
          <w:szCs w:val="21"/>
          <w:highlight w:val="none"/>
        </w:rPr>
      </w:pPr>
      <w:r>
        <w:rPr>
          <w:rFonts w:hint="eastAsia" w:hAnsi="宋体"/>
          <w:color w:val="auto"/>
          <w:sz w:val="21"/>
          <w:szCs w:val="21"/>
          <w:highlight w:val="none"/>
        </w:rPr>
        <w:t>2、供应商认为需要提供的其他资料（如有）</w:t>
      </w:r>
    </w:p>
    <w:p>
      <w:pPr>
        <w:pStyle w:val="26"/>
        <w:spacing w:line="360" w:lineRule="auto"/>
        <w:ind w:firstLine="420"/>
        <w:rPr>
          <w:rFonts w:hAnsi="宋体"/>
          <w:color w:val="auto"/>
          <w:highlight w:val="none"/>
        </w:rPr>
      </w:pPr>
    </w:p>
    <w:p>
      <w:pPr>
        <w:pStyle w:val="3"/>
        <w:pageBreakBefore/>
        <w:spacing w:line="360" w:lineRule="auto"/>
        <w:jc w:val="center"/>
        <w:rPr>
          <w:rFonts w:hAnsi="宋体"/>
          <w:b/>
          <w:color w:val="auto"/>
          <w:sz w:val="28"/>
          <w:szCs w:val="28"/>
          <w:highlight w:val="none"/>
        </w:rPr>
      </w:pPr>
      <w:bookmarkStart w:id="142" w:name="_Toc17763"/>
      <w:r>
        <w:rPr>
          <w:rFonts w:hint="eastAsia" w:hAnsi="宋体"/>
          <w:b/>
          <w:color w:val="auto"/>
          <w:sz w:val="28"/>
          <w:szCs w:val="28"/>
          <w:highlight w:val="none"/>
        </w:rPr>
        <w:t>第三节 报价信封（单独封装）</w:t>
      </w:r>
      <w:bookmarkEnd w:id="142"/>
    </w:p>
    <w:p>
      <w:pPr>
        <w:spacing w:line="360" w:lineRule="auto"/>
        <w:ind w:left="849" w:leftChars="178" w:hanging="422" w:hangingChars="201"/>
        <w:rPr>
          <w:rFonts w:hAnsi="宋体"/>
          <w:color w:val="auto"/>
          <w:sz w:val="21"/>
          <w:szCs w:val="21"/>
          <w:highlight w:val="none"/>
        </w:rPr>
      </w:pPr>
    </w:p>
    <w:p>
      <w:pPr>
        <w:spacing w:line="360" w:lineRule="auto"/>
        <w:ind w:left="849" w:leftChars="178" w:hanging="422" w:hangingChars="201"/>
        <w:rPr>
          <w:rFonts w:hAnsi="宋体"/>
          <w:color w:val="auto"/>
          <w:sz w:val="21"/>
          <w:szCs w:val="21"/>
          <w:highlight w:val="none"/>
        </w:rPr>
      </w:pPr>
      <w:r>
        <w:rPr>
          <w:rFonts w:hint="eastAsia" w:hAnsi="宋体"/>
          <w:color w:val="auto"/>
          <w:sz w:val="21"/>
          <w:szCs w:val="21"/>
          <w:highlight w:val="none"/>
        </w:rPr>
        <w:t>1、</w:t>
      </w:r>
      <w:r>
        <w:rPr>
          <w:rFonts w:hint="eastAsia" w:hAnsi="宋体"/>
          <w:color w:val="auto"/>
          <w:sz w:val="21"/>
          <w:szCs w:val="21"/>
          <w:highlight w:val="none"/>
          <w:lang w:eastAsia="zh-CN"/>
        </w:rPr>
        <w:t>首次报价表</w:t>
      </w:r>
      <w:r>
        <w:rPr>
          <w:rFonts w:hint="eastAsia" w:hAnsi="宋体"/>
          <w:color w:val="auto"/>
          <w:sz w:val="21"/>
          <w:szCs w:val="21"/>
          <w:highlight w:val="none"/>
        </w:rPr>
        <w:t>（开标一览表）【该表内容如与响应文件正本不一致的，以该表内容为准】；</w:t>
      </w:r>
    </w:p>
    <w:p>
      <w:pPr>
        <w:spacing w:line="360" w:lineRule="auto"/>
        <w:ind w:left="849" w:leftChars="178" w:hanging="422" w:hangingChars="201"/>
        <w:rPr>
          <w:rFonts w:hint="default" w:hAnsi="宋体" w:eastAsia="宋体"/>
          <w:color w:val="auto"/>
          <w:sz w:val="21"/>
          <w:szCs w:val="21"/>
          <w:highlight w:val="none"/>
          <w:lang w:val="en-US" w:eastAsia="zh-CN"/>
        </w:rPr>
      </w:pPr>
      <w:r>
        <w:rPr>
          <w:rFonts w:hint="eastAsia" w:hAnsi="宋体"/>
          <w:color w:val="auto"/>
          <w:sz w:val="21"/>
          <w:szCs w:val="21"/>
          <w:highlight w:val="none"/>
        </w:rPr>
        <w:t>2、投标保证金汇入情况说明或《政府采购投标担保函》复印件；</w:t>
      </w:r>
      <w:r>
        <w:rPr>
          <w:rFonts w:hint="eastAsia" w:hAnsi="宋体"/>
          <w:color w:val="auto"/>
          <w:sz w:val="21"/>
          <w:szCs w:val="21"/>
          <w:highlight w:val="none"/>
          <w:lang w:eastAsia="zh-CN"/>
        </w:rPr>
        <w:t>（</w:t>
      </w:r>
      <w:r>
        <w:rPr>
          <w:rFonts w:hint="eastAsia" w:hAnsi="宋体"/>
          <w:color w:val="auto"/>
          <w:sz w:val="21"/>
          <w:szCs w:val="21"/>
          <w:highlight w:val="none"/>
          <w:lang w:val="en-US" w:eastAsia="zh-CN"/>
        </w:rPr>
        <w:t>如有</w:t>
      </w:r>
      <w:r>
        <w:rPr>
          <w:rFonts w:hint="eastAsia" w:hAnsi="宋体"/>
          <w:color w:val="auto"/>
          <w:sz w:val="21"/>
          <w:szCs w:val="21"/>
          <w:highlight w:val="none"/>
          <w:lang w:eastAsia="zh-CN"/>
        </w:rPr>
        <w:t>）</w:t>
      </w:r>
    </w:p>
    <w:p>
      <w:pPr>
        <w:spacing w:line="360" w:lineRule="auto"/>
        <w:ind w:left="849" w:leftChars="178" w:hanging="422" w:hangingChars="201"/>
        <w:rPr>
          <w:rFonts w:hAnsi="宋体"/>
          <w:color w:val="auto"/>
          <w:sz w:val="21"/>
          <w:szCs w:val="21"/>
          <w:highlight w:val="none"/>
        </w:rPr>
      </w:pPr>
      <w:r>
        <w:rPr>
          <w:rFonts w:hint="eastAsia" w:hAnsi="宋体"/>
          <w:color w:val="auto"/>
          <w:sz w:val="21"/>
          <w:szCs w:val="21"/>
          <w:highlight w:val="none"/>
        </w:rPr>
        <w:t>3、电子文件【含资格证明文件、商务文件和技术文件,响应文件采用光盘介质或U盘装载，其中报价部分（</w:t>
      </w:r>
      <w:r>
        <w:rPr>
          <w:rFonts w:hint="eastAsia" w:hAnsi="宋体"/>
          <w:color w:val="auto"/>
          <w:sz w:val="21"/>
          <w:szCs w:val="21"/>
          <w:highlight w:val="none"/>
          <w:lang w:eastAsia="zh-CN"/>
        </w:rPr>
        <w:t>首次报价表</w:t>
      </w:r>
      <w:r>
        <w:rPr>
          <w:rFonts w:hint="eastAsia" w:hAnsi="宋体"/>
          <w:color w:val="auto"/>
          <w:sz w:val="21"/>
          <w:szCs w:val="21"/>
          <w:highlight w:val="none"/>
        </w:rPr>
        <w:t>、分类报价明细表）需用Excel电子表格提供。】</w:t>
      </w:r>
    </w:p>
    <w:p>
      <w:pPr>
        <w:spacing w:line="360" w:lineRule="auto"/>
        <w:ind w:left="849" w:leftChars="178" w:hanging="422" w:hangingChars="201"/>
        <w:rPr>
          <w:rFonts w:hAnsi="宋体"/>
          <w:color w:val="auto"/>
          <w:sz w:val="21"/>
          <w:szCs w:val="21"/>
          <w:highlight w:val="none"/>
        </w:rPr>
      </w:pPr>
    </w:p>
    <w:p>
      <w:pPr>
        <w:pageBreakBefore/>
        <w:spacing w:line="360" w:lineRule="auto"/>
        <w:ind w:left="992" w:leftChars="178" w:hanging="565" w:hangingChars="201"/>
        <w:rPr>
          <w:rFonts w:hAnsi="宋体"/>
          <w:b/>
          <w:color w:val="auto"/>
          <w:sz w:val="28"/>
          <w:szCs w:val="28"/>
          <w:highlight w:val="none"/>
        </w:rPr>
      </w:pPr>
      <w:r>
        <w:rPr>
          <w:rFonts w:hint="eastAsia" w:hAnsi="宋体"/>
          <w:b/>
          <w:color w:val="auto"/>
          <w:sz w:val="28"/>
          <w:szCs w:val="28"/>
          <w:highlight w:val="none"/>
        </w:rPr>
        <w:t>附件（以下格式文件由供应商根据需要选用）</w:t>
      </w:r>
    </w:p>
    <w:p>
      <w:pPr>
        <w:spacing w:line="360" w:lineRule="auto"/>
        <w:jc w:val="center"/>
        <w:rPr>
          <w:rFonts w:hAnsi="宋体"/>
          <w:b/>
          <w:color w:val="auto"/>
          <w:sz w:val="28"/>
          <w:szCs w:val="28"/>
          <w:highlight w:val="none"/>
        </w:rPr>
      </w:pPr>
      <w:r>
        <w:rPr>
          <w:rFonts w:hint="eastAsia" w:hAnsi="宋体"/>
          <w:b/>
          <w:color w:val="auto"/>
          <w:sz w:val="28"/>
          <w:szCs w:val="28"/>
          <w:highlight w:val="none"/>
        </w:rPr>
        <w:t>政府采购投标担保函</w:t>
      </w:r>
    </w:p>
    <w:p>
      <w:pPr>
        <w:wordWrap w:val="0"/>
        <w:spacing w:line="360" w:lineRule="auto"/>
        <w:jc w:val="right"/>
        <w:rPr>
          <w:rFonts w:hAnsi="宋体"/>
          <w:color w:val="auto"/>
          <w:sz w:val="21"/>
          <w:szCs w:val="21"/>
          <w:highlight w:val="none"/>
        </w:rPr>
      </w:pPr>
      <w:r>
        <w:rPr>
          <w:rFonts w:hint="eastAsia" w:hAnsi="宋体"/>
          <w:color w:val="auto"/>
          <w:sz w:val="21"/>
          <w:szCs w:val="21"/>
          <w:highlight w:val="none"/>
        </w:rPr>
        <w:t xml:space="preserve">编号：      </w:t>
      </w:r>
    </w:p>
    <w:p>
      <w:pPr>
        <w:spacing w:line="360" w:lineRule="auto"/>
        <w:rPr>
          <w:rFonts w:hAnsi="宋体"/>
          <w:color w:val="auto"/>
          <w:sz w:val="21"/>
          <w:szCs w:val="21"/>
          <w:highlight w:val="none"/>
        </w:rPr>
      </w:pPr>
      <w:r>
        <w:rPr>
          <w:rFonts w:hint="eastAsia" w:hAnsi="宋体"/>
          <w:color w:val="auto"/>
          <w:sz w:val="21"/>
          <w:szCs w:val="21"/>
          <w:highlight w:val="none"/>
        </w:rPr>
        <w:t>________（采购人或采购代理机构）：</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鉴于________（以下简称“供应商”）拟参加编号为_______的_______项目（以下简称“本项目”）投标，根据本项目磋商文件，供应商参加投标时应向你方交纳投标保证金，且可以投标担保函的形式交纳投标保证金。应供应商的申请，我方以保证的方式向你方提供如下投标保证金担保：</w:t>
      </w:r>
    </w:p>
    <w:p>
      <w:pPr>
        <w:spacing w:line="360" w:lineRule="auto"/>
        <w:rPr>
          <w:rFonts w:hAnsi="宋体"/>
          <w:color w:val="auto"/>
          <w:sz w:val="21"/>
          <w:szCs w:val="21"/>
          <w:highlight w:val="none"/>
        </w:rPr>
      </w:pPr>
      <w:r>
        <w:rPr>
          <w:rFonts w:hint="eastAsia" w:hAnsi="宋体"/>
          <w:color w:val="auto"/>
          <w:sz w:val="21"/>
          <w:szCs w:val="21"/>
          <w:highlight w:val="none"/>
        </w:rPr>
        <w:t>一、保证责任的情形及保证金额</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（一）在供应商出现下列情形之一时 ，我方承担保证责任：</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1.成交后供应商无正当理由不与采购人或者采购代理机构签订《政府采购合同》；</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2.磋商文件规定的供应商应当缴纳保证金的其他情形。</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（二）我方承担保证责任的最高金额为人民币</w:t>
      </w:r>
      <w:r>
        <w:rPr>
          <w:rFonts w:hint="eastAsia" w:hAnsi="宋体"/>
          <w:color w:val="auto"/>
          <w:sz w:val="21"/>
          <w:szCs w:val="21"/>
          <w:highlight w:val="none"/>
          <w:u w:val="single"/>
        </w:rPr>
        <w:t xml:space="preserve">     </w:t>
      </w:r>
      <w:r>
        <w:rPr>
          <w:rFonts w:hint="eastAsia" w:hAnsi="宋体"/>
          <w:color w:val="auto"/>
          <w:sz w:val="21"/>
          <w:szCs w:val="21"/>
          <w:highlight w:val="none"/>
        </w:rPr>
        <w:t>元（大写</w:t>
      </w:r>
      <w:r>
        <w:rPr>
          <w:rFonts w:hint="eastAsia" w:hAnsi="宋体"/>
          <w:color w:val="auto"/>
          <w:sz w:val="21"/>
          <w:szCs w:val="21"/>
          <w:highlight w:val="none"/>
          <w:u w:val="single"/>
        </w:rPr>
        <w:t xml:space="preserve">     </w:t>
      </w:r>
      <w:r>
        <w:rPr>
          <w:rFonts w:hint="eastAsia" w:hAnsi="宋体"/>
          <w:color w:val="auto"/>
          <w:sz w:val="21"/>
          <w:szCs w:val="21"/>
          <w:highlight w:val="none"/>
        </w:rPr>
        <w:t>），即本项目的投标保证金金额。</w:t>
      </w:r>
    </w:p>
    <w:p>
      <w:pPr>
        <w:spacing w:line="360" w:lineRule="auto"/>
        <w:rPr>
          <w:rFonts w:hAnsi="宋体"/>
          <w:color w:val="auto"/>
          <w:sz w:val="21"/>
          <w:szCs w:val="21"/>
          <w:highlight w:val="none"/>
        </w:rPr>
      </w:pPr>
      <w:r>
        <w:rPr>
          <w:rFonts w:hint="eastAsia" w:hAnsi="宋体"/>
          <w:color w:val="auto"/>
          <w:sz w:val="21"/>
          <w:szCs w:val="21"/>
          <w:highlight w:val="none"/>
        </w:rPr>
        <w:t>二、保证的方式及保证期间</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我方保证的方式为：连带责任保证。</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我方的保证期间为：自本保函生效之日起</w:t>
      </w:r>
      <w:r>
        <w:rPr>
          <w:rFonts w:hint="eastAsia" w:hAnsi="宋体"/>
          <w:color w:val="auto"/>
          <w:sz w:val="21"/>
          <w:szCs w:val="21"/>
          <w:highlight w:val="none"/>
          <w:u w:val="single"/>
        </w:rPr>
        <w:t xml:space="preserve">     </w:t>
      </w:r>
      <w:r>
        <w:rPr>
          <w:rFonts w:hint="eastAsia" w:hAnsi="宋体"/>
          <w:color w:val="auto"/>
          <w:sz w:val="21"/>
          <w:szCs w:val="21"/>
          <w:highlight w:val="none"/>
        </w:rPr>
        <w:t>个月止。</w:t>
      </w:r>
    </w:p>
    <w:p>
      <w:pPr>
        <w:spacing w:line="360" w:lineRule="auto"/>
        <w:rPr>
          <w:rFonts w:hAnsi="宋体"/>
          <w:color w:val="auto"/>
          <w:sz w:val="21"/>
          <w:szCs w:val="21"/>
          <w:highlight w:val="none"/>
        </w:rPr>
      </w:pPr>
      <w:r>
        <w:rPr>
          <w:rFonts w:hint="eastAsia" w:hAnsi="宋体"/>
          <w:color w:val="auto"/>
          <w:sz w:val="21"/>
          <w:szCs w:val="21"/>
          <w:highlight w:val="none"/>
        </w:rPr>
        <w:t>三、承担保证责任的程序</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1.你方要求我方承担保证责任的，应在本保函保证期间内向我方发出书面索赔通知。索赔通知应写明要求索赔的金额，支付款项应到达的账号，并附有证明供应商发生我方应承担保证责任情形的事实材料。</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2.我方在收到索赔通知及相关证明材料后，在</w:t>
      </w:r>
      <w:r>
        <w:rPr>
          <w:rFonts w:hint="eastAsia" w:hAnsi="宋体"/>
          <w:color w:val="auto"/>
          <w:sz w:val="21"/>
          <w:szCs w:val="21"/>
          <w:highlight w:val="none"/>
          <w:u w:val="single"/>
        </w:rPr>
        <w:t xml:space="preserve">     </w:t>
      </w:r>
      <w:r>
        <w:rPr>
          <w:rFonts w:hint="eastAsia" w:hAnsi="宋体"/>
          <w:color w:val="auto"/>
          <w:sz w:val="21"/>
          <w:szCs w:val="21"/>
          <w:highlight w:val="none"/>
        </w:rPr>
        <w:t>个工作日内进行审查，符合应承担保证责任情形的，我方应按照你方的要求代供应商向你方支付投标保证金。</w:t>
      </w:r>
    </w:p>
    <w:p>
      <w:pPr>
        <w:spacing w:line="360" w:lineRule="auto"/>
        <w:rPr>
          <w:rFonts w:hAnsi="宋体"/>
          <w:color w:val="auto"/>
          <w:sz w:val="21"/>
          <w:szCs w:val="21"/>
          <w:highlight w:val="none"/>
        </w:rPr>
      </w:pPr>
      <w:r>
        <w:rPr>
          <w:rFonts w:hint="eastAsia" w:hAnsi="宋体"/>
          <w:color w:val="auto"/>
          <w:sz w:val="21"/>
          <w:szCs w:val="21"/>
          <w:highlight w:val="none"/>
        </w:rPr>
        <w:t>四、保证责任的终止</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1.保证期间届满你方未向我方书面主张保证责任的，自保证期间届满次日起，我方保证责任自动终止。</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2.我方按照本保函向你贵方履行了保证责任后，自我方向你贵方支付款项（支付款项从我方账户划出）之日起，保证责任终止。</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3.按照法律法规的规定或出现我方保证责任终止的其它情形的，我方在本保函项下的保证责任亦终止。</w:t>
      </w:r>
    </w:p>
    <w:p>
      <w:pPr>
        <w:spacing w:line="360" w:lineRule="auto"/>
        <w:rPr>
          <w:rFonts w:hAnsi="宋体"/>
          <w:color w:val="auto"/>
          <w:sz w:val="21"/>
          <w:szCs w:val="21"/>
          <w:highlight w:val="none"/>
        </w:rPr>
      </w:pPr>
      <w:r>
        <w:rPr>
          <w:rFonts w:hint="eastAsia" w:hAnsi="宋体"/>
          <w:color w:val="auto"/>
          <w:sz w:val="21"/>
          <w:szCs w:val="21"/>
          <w:highlight w:val="none"/>
        </w:rPr>
        <w:t>五、免责条款</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1.依照法律规定或你方与供应商的另行约定，全部或者部分免除供应商投标保证金义务时，我方亦免除相应的保证责任。</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2.因你方原因致使供应商发生本保函第一条第（一）款约定情形的，我方不承担保证责任。</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3.因不可抗力造成供应商发生本保函第一条约定情形的，我方不承担保证责任。</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4.你方或其他有权机关对磋商文件进行任何澄清或修改，加重我方保证责任的，我方对加重部分不承担保证责任，但该澄清或修改经我方事先书面同意的除外。</w:t>
      </w:r>
    </w:p>
    <w:p>
      <w:pPr>
        <w:spacing w:line="360" w:lineRule="auto"/>
        <w:rPr>
          <w:rFonts w:hAnsi="宋体"/>
          <w:color w:val="auto"/>
          <w:sz w:val="21"/>
          <w:szCs w:val="21"/>
          <w:highlight w:val="none"/>
        </w:rPr>
      </w:pPr>
      <w:r>
        <w:rPr>
          <w:rFonts w:hint="eastAsia" w:hAnsi="宋体"/>
          <w:color w:val="auto"/>
          <w:sz w:val="21"/>
          <w:szCs w:val="21"/>
          <w:highlight w:val="none"/>
        </w:rPr>
        <w:t>六、争议的解决</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因本保函发生的纠纷，由你我双方协商解决，协商不成的，通过诉讼程序解决，诉讼管辖地法院为____________法院。</w:t>
      </w:r>
    </w:p>
    <w:p>
      <w:pPr>
        <w:spacing w:line="360" w:lineRule="auto"/>
        <w:rPr>
          <w:rFonts w:hAnsi="宋体"/>
          <w:color w:val="auto"/>
          <w:sz w:val="21"/>
          <w:szCs w:val="21"/>
          <w:highlight w:val="none"/>
        </w:rPr>
      </w:pPr>
      <w:r>
        <w:rPr>
          <w:rFonts w:hint="eastAsia" w:hAnsi="宋体"/>
          <w:color w:val="auto"/>
          <w:sz w:val="21"/>
          <w:szCs w:val="21"/>
          <w:highlight w:val="none"/>
        </w:rPr>
        <w:t>七 、保函的生效</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本保函自我方力口盖公章之日起生效。</w:t>
      </w:r>
    </w:p>
    <w:p>
      <w:pPr>
        <w:spacing w:line="360" w:lineRule="auto"/>
        <w:rPr>
          <w:rFonts w:hAnsi="宋体"/>
          <w:color w:val="auto"/>
          <w:sz w:val="21"/>
          <w:szCs w:val="21"/>
          <w:highlight w:val="none"/>
        </w:rPr>
      </w:pPr>
    </w:p>
    <w:p>
      <w:pPr>
        <w:spacing w:line="360" w:lineRule="auto"/>
        <w:jc w:val="right"/>
        <w:rPr>
          <w:rFonts w:hAnsi="宋体"/>
          <w:color w:val="auto"/>
          <w:sz w:val="21"/>
          <w:szCs w:val="21"/>
          <w:highlight w:val="none"/>
        </w:rPr>
      </w:pPr>
      <w:r>
        <w:rPr>
          <w:rFonts w:hint="eastAsia" w:hAnsi="宋体"/>
          <w:color w:val="auto"/>
          <w:sz w:val="21"/>
          <w:szCs w:val="21"/>
          <w:highlight w:val="none"/>
        </w:rPr>
        <w:t>保证人：（公章）</w:t>
      </w:r>
    </w:p>
    <w:p>
      <w:pPr>
        <w:spacing w:line="360" w:lineRule="auto"/>
        <w:ind w:left="849" w:leftChars="178" w:hanging="422" w:hangingChars="201"/>
        <w:jc w:val="right"/>
        <w:rPr>
          <w:rFonts w:hAnsi="宋体"/>
          <w:b/>
          <w:color w:val="auto"/>
          <w:sz w:val="28"/>
          <w:szCs w:val="28"/>
          <w:highlight w:val="none"/>
        </w:rPr>
      </w:pPr>
      <w:r>
        <w:rPr>
          <w:rFonts w:hint="eastAsia" w:hAnsi="宋体"/>
          <w:color w:val="auto"/>
          <w:sz w:val="21"/>
          <w:szCs w:val="21"/>
          <w:highlight w:val="none"/>
        </w:rPr>
        <w:t>年 月 日</w:t>
      </w:r>
    </w:p>
    <w:p>
      <w:pPr>
        <w:spacing w:line="360" w:lineRule="auto"/>
        <w:rPr>
          <w:rFonts w:hAnsi="宋体"/>
          <w:b/>
          <w:color w:val="auto"/>
          <w:sz w:val="28"/>
          <w:szCs w:val="28"/>
          <w:highlight w:val="none"/>
        </w:rPr>
      </w:pPr>
    </w:p>
    <w:p>
      <w:pPr>
        <w:pageBreakBefore/>
        <w:spacing w:line="360" w:lineRule="auto"/>
        <w:jc w:val="center"/>
        <w:rPr>
          <w:rFonts w:hAnsi="宋体"/>
          <w:b/>
          <w:color w:val="auto"/>
          <w:sz w:val="28"/>
          <w:szCs w:val="28"/>
          <w:highlight w:val="none"/>
        </w:rPr>
      </w:pPr>
      <w:r>
        <w:rPr>
          <w:rFonts w:hint="eastAsia" w:hAnsi="宋体"/>
          <w:b/>
          <w:color w:val="auto"/>
          <w:sz w:val="28"/>
          <w:szCs w:val="28"/>
          <w:highlight w:val="none"/>
        </w:rPr>
        <w:t>政府采购履约担保函</w:t>
      </w:r>
    </w:p>
    <w:p>
      <w:pPr>
        <w:wordWrap w:val="0"/>
        <w:spacing w:line="360" w:lineRule="auto"/>
        <w:jc w:val="right"/>
        <w:rPr>
          <w:rFonts w:hAnsi="宋体"/>
          <w:color w:val="auto"/>
          <w:sz w:val="21"/>
          <w:szCs w:val="21"/>
          <w:highlight w:val="none"/>
        </w:rPr>
      </w:pPr>
      <w:r>
        <w:rPr>
          <w:rFonts w:hint="eastAsia" w:hAnsi="宋体"/>
          <w:color w:val="auto"/>
          <w:sz w:val="21"/>
          <w:szCs w:val="21"/>
          <w:highlight w:val="none"/>
        </w:rPr>
        <w:t xml:space="preserve">     编号：     </w:t>
      </w:r>
    </w:p>
    <w:p>
      <w:pPr>
        <w:spacing w:line="360" w:lineRule="auto"/>
        <w:rPr>
          <w:rFonts w:hAnsi="宋体"/>
          <w:color w:val="auto"/>
          <w:sz w:val="21"/>
          <w:szCs w:val="21"/>
          <w:highlight w:val="none"/>
        </w:rPr>
      </w:pPr>
      <w:r>
        <w:rPr>
          <w:rFonts w:hint="eastAsia" w:hAnsi="宋体"/>
          <w:color w:val="auto"/>
          <w:sz w:val="21"/>
          <w:szCs w:val="21"/>
          <w:highlight w:val="none"/>
        </w:rPr>
        <w:t>________ (采购人)：</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鉴于你方与</w:t>
      </w:r>
      <w:r>
        <w:rPr>
          <w:rFonts w:hint="eastAsia" w:hAnsi="宋体"/>
          <w:color w:val="auto"/>
          <w:sz w:val="21"/>
          <w:szCs w:val="21"/>
          <w:highlight w:val="none"/>
          <w:u w:val="single"/>
        </w:rPr>
        <w:t xml:space="preserve">        </w:t>
      </w:r>
      <w:r>
        <w:rPr>
          <w:rFonts w:hint="eastAsia" w:hAnsi="宋体"/>
          <w:color w:val="auto"/>
          <w:sz w:val="21"/>
          <w:szCs w:val="21"/>
          <w:highlight w:val="none"/>
        </w:rPr>
        <w:t>（以下简称供应商）于</w:t>
      </w:r>
      <w:r>
        <w:rPr>
          <w:rFonts w:hint="eastAsia" w:hAnsi="宋体"/>
          <w:color w:val="auto"/>
          <w:sz w:val="21"/>
          <w:szCs w:val="21"/>
          <w:highlight w:val="none"/>
          <w:u w:val="single"/>
        </w:rPr>
        <w:t xml:space="preserve">     </w:t>
      </w:r>
      <w:r>
        <w:rPr>
          <w:rFonts w:hint="eastAsia" w:hAnsi="宋体"/>
          <w:color w:val="auto"/>
          <w:sz w:val="21"/>
          <w:szCs w:val="21"/>
          <w:highlight w:val="none"/>
        </w:rPr>
        <w:t>年</w:t>
      </w:r>
      <w:r>
        <w:rPr>
          <w:rFonts w:hint="eastAsia" w:hAnsi="宋体"/>
          <w:color w:val="auto"/>
          <w:sz w:val="21"/>
          <w:szCs w:val="21"/>
          <w:highlight w:val="none"/>
          <w:u w:val="single"/>
        </w:rPr>
        <w:t xml:space="preserve">     </w:t>
      </w:r>
      <w:r>
        <w:rPr>
          <w:rFonts w:hint="eastAsia" w:hAnsi="宋体"/>
          <w:color w:val="auto"/>
          <w:sz w:val="21"/>
          <w:szCs w:val="21"/>
          <w:highlight w:val="none"/>
        </w:rPr>
        <w:t>月</w:t>
      </w:r>
      <w:r>
        <w:rPr>
          <w:rFonts w:hint="eastAsia" w:hAnsi="宋体"/>
          <w:color w:val="auto"/>
          <w:sz w:val="21"/>
          <w:szCs w:val="21"/>
          <w:highlight w:val="none"/>
          <w:u w:val="single"/>
        </w:rPr>
        <w:t xml:space="preserve">      </w:t>
      </w:r>
      <w:r>
        <w:rPr>
          <w:rFonts w:hint="eastAsia" w:hAnsi="宋体"/>
          <w:color w:val="auto"/>
          <w:sz w:val="21"/>
          <w:szCs w:val="21"/>
          <w:highlight w:val="none"/>
        </w:rPr>
        <w:t>日签定编号为的《</w:t>
      </w:r>
      <w:r>
        <w:rPr>
          <w:rFonts w:hint="eastAsia" w:hAnsi="宋体"/>
          <w:color w:val="auto"/>
          <w:sz w:val="21"/>
          <w:szCs w:val="21"/>
          <w:highlight w:val="none"/>
          <w:u w:val="single"/>
        </w:rPr>
        <w:t xml:space="preserve">     </w:t>
      </w:r>
      <w:r>
        <w:rPr>
          <w:rFonts w:hint="eastAsia" w:hAnsi="宋体"/>
          <w:color w:val="auto"/>
          <w:sz w:val="21"/>
          <w:szCs w:val="21"/>
          <w:highlight w:val="none"/>
        </w:rPr>
        <w:t>政府采购合同》（以下简称主合同），且依据该合同的约定，供应商应在</w:t>
      </w:r>
      <w:r>
        <w:rPr>
          <w:rFonts w:hint="eastAsia" w:hAnsi="宋体"/>
          <w:color w:val="auto"/>
          <w:sz w:val="21"/>
          <w:szCs w:val="21"/>
          <w:highlight w:val="none"/>
          <w:u w:val="single"/>
        </w:rPr>
        <w:t xml:space="preserve">   </w:t>
      </w:r>
      <w:r>
        <w:rPr>
          <w:rFonts w:hint="eastAsia" w:hAnsi="宋体"/>
          <w:color w:val="auto"/>
          <w:sz w:val="21"/>
          <w:szCs w:val="21"/>
          <w:highlight w:val="none"/>
        </w:rPr>
        <w:t xml:space="preserve">年 </w:t>
      </w:r>
      <w:r>
        <w:rPr>
          <w:rFonts w:hint="eastAsia" w:hAnsi="宋体"/>
          <w:color w:val="auto"/>
          <w:sz w:val="21"/>
          <w:szCs w:val="21"/>
          <w:highlight w:val="none"/>
          <w:u w:val="single"/>
        </w:rPr>
        <w:t xml:space="preserve">    </w:t>
      </w:r>
      <w:r>
        <w:rPr>
          <w:rFonts w:hint="eastAsia" w:hAnsi="宋体"/>
          <w:color w:val="auto"/>
          <w:sz w:val="21"/>
          <w:szCs w:val="21"/>
          <w:highlight w:val="none"/>
        </w:rPr>
        <w:t>月</w:t>
      </w:r>
      <w:r>
        <w:rPr>
          <w:rFonts w:hint="eastAsia" w:hAnsi="宋体"/>
          <w:color w:val="auto"/>
          <w:sz w:val="21"/>
          <w:szCs w:val="21"/>
          <w:highlight w:val="none"/>
          <w:u w:val="single"/>
        </w:rPr>
        <w:t xml:space="preserve">    </w:t>
      </w:r>
      <w:r>
        <w:rPr>
          <w:rFonts w:hint="eastAsia" w:hAnsi="宋体"/>
          <w:color w:val="auto"/>
          <w:sz w:val="21"/>
          <w:szCs w:val="21"/>
          <w:highlight w:val="none"/>
        </w:rPr>
        <w:t>日前向你方交纳履约保证金，且可以履约担保函的形式交纳履约保证金。应供应商的申请，我方以保证的方式向你方提供如下履约保证金担保：</w:t>
      </w:r>
    </w:p>
    <w:p>
      <w:pPr>
        <w:spacing w:line="360" w:lineRule="auto"/>
        <w:rPr>
          <w:rFonts w:hAnsi="宋体"/>
          <w:color w:val="auto"/>
          <w:sz w:val="21"/>
          <w:szCs w:val="21"/>
          <w:highlight w:val="none"/>
        </w:rPr>
      </w:pPr>
      <w:r>
        <w:rPr>
          <w:rFonts w:hint="eastAsia" w:hAnsi="宋体"/>
          <w:color w:val="auto"/>
          <w:sz w:val="21"/>
          <w:szCs w:val="21"/>
          <w:highlight w:val="none"/>
        </w:rPr>
        <w:t>一、保证责任的情形及保证金额</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（一）在供应商出现下列情形之一时，我方承担保证责任：</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1.将成交项目转让给他人，或者在响应文件中未说明，且未经采购招标机构人同意，将成交项目分包给他人的；</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2.主合同约定的应当缴纳履约保证金的情形：</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(1)未按主合同约定的质量、数量和期限供应货物/提供服务/完成工程的；</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(2)</w:t>
      </w:r>
      <w:r>
        <w:rPr>
          <w:rFonts w:hint="eastAsia" w:hAnsi="宋体"/>
          <w:color w:val="auto"/>
          <w:sz w:val="21"/>
          <w:szCs w:val="21"/>
          <w:highlight w:val="none"/>
          <w:u w:val="single"/>
        </w:rPr>
        <w:t xml:space="preserve">                                                            </w:t>
      </w:r>
      <w:r>
        <w:rPr>
          <w:rFonts w:hint="eastAsia" w:hAnsi="宋体"/>
          <w:color w:val="auto"/>
          <w:sz w:val="21"/>
          <w:szCs w:val="21"/>
          <w:highlight w:val="none"/>
        </w:rPr>
        <w:t>。</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（二）我方的保证范围是主合同约定的合同价款总额的</w:t>
      </w:r>
      <w:r>
        <w:rPr>
          <w:rFonts w:hint="eastAsia" w:hAnsi="宋体"/>
          <w:color w:val="auto"/>
          <w:sz w:val="21"/>
          <w:szCs w:val="21"/>
          <w:highlight w:val="none"/>
          <w:u w:val="single"/>
        </w:rPr>
        <w:t xml:space="preserve">      </w:t>
      </w:r>
      <w:r>
        <w:rPr>
          <w:rFonts w:hint="eastAsia" w:hAnsi="宋体"/>
          <w:color w:val="auto"/>
          <w:sz w:val="21"/>
          <w:szCs w:val="21"/>
          <w:highlight w:val="none"/>
        </w:rPr>
        <w:t>% 数额为</w:t>
      </w:r>
      <w:r>
        <w:rPr>
          <w:rFonts w:hint="eastAsia" w:hAnsi="宋体"/>
          <w:color w:val="auto"/>
          <w:sz w:val="21"/>
          <w:szCs w:val="21"/>
          <w:highlight w:val="none"/>
          <w:u w:val="single"/>
        </w:rPr>
        <w:t xml:space="preserve">      </w:t>
      </w:r>
      <w:r>
        <w:rPr>
          <w:rFonts w:hint="eastAsia" w:hAnsi="宋体"/>
          <w:color w:val="auto"/>
          <w:sz w:val="21"/>
          <w:szCs w:val="21"/>
          <w:highlight w:val="none"/>
        </w:rPr>
        <w:t>元（大写</w:t>
      </w:r>
      <w:r>
        <w:rPr>
          <w:rFonts w:hint="eastAsia" w:hAnsi="宋体"/>
          <w:color w:val="auto"/>
          <w:sz w:val="21"/>
          <w:szCs w:val="21"/>
          <w:highlight w:val="none"/>
          <w:u w:val="single"/>
        </w:rPr>
        <w:t xml:space="preserve">        </w:t>
      </w:r>
      <w:r>
        <w:rPr>
          <w:rFonts w:hint="eastAsia" w:hAnsi="宋体"/>
          <w:color w:val="auto"/>
          <w:sz w:val="21"/>
          <w:szCs w:val="21"/>
          <w:highlight w:val="none"/>
        </w:rPr>
        <w:t>），币种为</w:t>
      </w:r>
      <w:r>
        <w:rPr>
          <w:rFonts w:hint="eastAsia" w:hAnsi="宋体"/>
          <w:color w:val="auto"/>
          <w:sz w:val="21"/>
          <w:szCs w:val="21"/>
          <w:highlight w:val="none"/>
          <w:u w:val="single"/>
        </w:rPr>
        <w:t xml:space="preserve">       </w:t>
      </w:r>
      <w:r>
        <w:rPr>
          <w:rFonts w:hint="eastAsia" w:hAnsi="宋体"/>
          <w:color w:val="auto"/>
          <w:sz w:val="21"/>
          <w:szCs w:val="21"/>
          <w:highlight w:val="none"/>
        </w:rPr>
        <w:t>（即主合同履约保证金金额）</w:t>
      </w:r>
    </w:p>
    <w:p>
      <w:pPr>
        <w:spacing w:line="360" w:lineRule="auto"/>
        <w:rPr>
          <w:rFonts w:hAnsi="宋体"/>
          <w:color w:val="auto"/>
          <w:sz w:val="21"/>
          <w:szCs w:val="21"/>
          <w:highlight w:val="none"/>
        </w:rPr>
      </w:pPr>
      <w:r>
        <w:rPr>
          <w:rFonts w:hint="eastAsia" w:hAnsi="宋体"/>
          <w:color w:val="auto"/>
          <w:sz w:val="21"/>
          <w:szCs w:val="21"/>
          <w:highlight w:val="none"/>
        </w:rPr>
        <w:t>二、保证的方式及保证期间</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我方保证的方式为：连带责任保证。</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我方保证的期间为：自本合同生效之日起至供应商按照主合同约定的供货／完工期限届满后</w:t>
      </w:r>
      <w:r>
        <w:rPr>
          <w:rFonts w:hint="eastAsia" w:hAnsi="宋体"/>
          <w:color w:val="auto"/>
          <w:sz w:val="21"/>
          <w:szCs w:val="21"/>
          <w:highlight w:val="none"/>
          <w:u w:val="single"/>
        </w:rPr>
        <w:t xml:space="preserve">    </w:t>
      </w:r>
      <w:r>
        <w:rPr>
          <w:rFonts w:hint="eastAsia" w:hAnsi="宋体"/>
          <w:color w:val="auto"/>
          <w:sz w:val="21"/>
          <w:szCs w:val="21"/>
          <w:highlight w:val="none"/>
        </w:rPr>
        <w:t>日内。</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如果供应商未按主合同约定向贵方供应货物／提供服务／完成工程的，由我方在保证金额内向你方支付上述款项。</w:t>
      </w:r>
    </w:p>
    <w:p>
      <w:pPr>
        <w:spacing w:line="360" w:lineRule="auto"/>
        <w:rPr>
          <w:rFonts w:hAnsi="宋体"/>
          <w:color w:val="auto"/>
          <w:sz w:val="21"/>
          <w:szCs w:val="21"/>
          <w:highlight w:val="none"/>
        </w:rPr>
      </w:pPr>
      <w:r>
        <w:rPr>
          <w:rFonts w:hint="eastAsia" w:hAnsi="宋体"/>
          <w:color w:val="auto"/>
          <w:sz w:val="21"/>
          <w:szCs w:val="21"/>
          <w:highlight w:val="none"/>
        </w:rPr>
        <w:t>三、承担保证责任的程序</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1.你方要求我方承担保证责任的，应在本保函保证期间内向我方发出书面索赔通知 。索赔通知应写明要求索赔的金额，支付款项应到达的帐号。并附有证明供应商违约事实的证明材料。</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如果你方与供应商因货物质量问题产生争议，你方还需同时提供</w:t>
      </w:r>
      <w:r>
        <w:rPr>
          <w:rFonts w:hint="eastAsia" w:hAnsi="宋体"/>
          <w:color w:val="auto"/>
          <w:sz w:val="21"/>
          <w:szCs w:val="21"/>
          <w:highlight w:val="none"/>
          <w:u w:val="single"/>
        </w:rPr>
        <w:t xml:space="preserve">     </w:t>
      </w:r>
      <w:r>
        <w:rPr>
          <w:rFonts w:hint="eastAsia" w:hAnsi="宋体"/>
          <w:color w:val="auto"/>
          <w:sz w:val="21"/>
          <w:szCs w:val="21"/>
          <w:highlight w:val="none"/>
        </w:rPr>
        <w:t>部门出具的质量检测报告，或经诉讼（仲裁）程序裁决后的裁决书 、调解书，本保证人即按照检测结果或裁决书 、调解书决定是否承担保证责任。</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2.我方收到你方的书面索赔通知及相应证明材料，在</w:t>
      </w:r>
      <w:r>
        <w:rPr>
          <w:rFonts w:hint="eastAsia" w:hAnsi="宋体"/>
          <w:color w:val="auto"/>
          <w:sz w:val="21"/>
          <w:szCs w:val="21"/>
          <w:highlight w:val="none"/>
          <w:u w:val="single"/>
        </w:rPr>
        <w:t xml:space="preserve">    </w:t>
      </w:r>
      <w:r>
        <w:rPr>
          <w:rFonts w:hint="eastAsia" w:hAnsi="宋体"/>
          <w:color w:val="auto"/>
          <w:sz w:val="21"/>
          <w:szCs w:val="21"/>
          <w:highlight w:val="none"/>
        </w:rPr>
        <w:t>工作日内进行核定后按照本保函的承诺承担保证责任。</w:t>
      </w:r>
    </w:p>
    <w:p>
      <w:pPr>
        <w:spacing w:line="360" w:lineRule="auto"/>
        <w:rPr>
          <w:rFonts w:hAnsi="宋体"/>
          <w:color w:val="auto"/>
          <w:sz w:val="21"/>
          <w:szCs w:val="21"/>
          <w:highlight w:val="none"/>
        </w:rPr>
      </w:pPr>
      <w:r>
        <w:rPr>
          <w:rFonts w:hint="eastAsia" w:hAnsi="宋体"/>
          <w:color w:val="auto"/>
          <w:sz w:val="21"/>
          <w:szCs w:val="21"/>
          <w:highlight w:val="none"/>
        </w:rPr>
        <w:t>四、保证责任的终止</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1.保证期间届满你方未向我方书面主张保证责任的，自保证期间届满次日起，我方保证责任自动终止。保证期间届满前，主合同约定的货物＼工程＼服务全部验收合格的，自验收合格日起，我方保证责任自动终止。</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2.我方按照本保函向你方履行了保证责任后，自我方向你方支付款项（支付款项从我方账户划出）之日起，保证责任即终止。</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3.按照法律法规的规定或出现应终止我方保证责任的其它情形的，我方在本保函项下的保证责任亦终止。</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4.你方与供应商修改主合同，加重我方保证责任的，我方对加重部分不承担保证责任，但该等修改事先经我方书面同意的除外；你方与供应商修改主合同履行期限，我方保证期间仍依修改前的履行期限计算，但该等修改事先经我方书面同意的除外。</w:t>
      </w:r>
    </w:p>
    <w:p>
      <w:pPr>
        <w:spacing w:line="360" w:lineRule="auto"/>
        <w:rPr>
          <w:rFonts w:hAnsi="宋体"/>
          <w:color w:val="auto"/>
          <w:sz w:val="21"/>
          <w:szCs w:val="21"/>
          <w:highlight w:val="none"/>
        </w:rPr>
      </w:pPr>
      <w:r>
        <w:rPr>
          <w:rFonts w:hint="eastAsia" w:hAnsi="宋体"/>
          <w:color w:val="auto"/>
          <w:sz w:val="21"/>
          <w:szCs w:val="21"/>
          <w:highlight w:val="none"/>
        </w:rPr>
        <w:t>五、免责条款</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1.因你方违反主合同约定致使供应商不能履行义务的，我方不承担保证责任。</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2.依照法律法规的规定或你方与供应商的另行约定，全部或者部分免除供应商应缴纳的保证金义务的，我方亦免除相应的保证责任。</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3.因不可抗力造成供应商不能履行供货义务的，我方不承担保证责任。</w:t>
      </w:r>
    </w:p>
    <w:p>
      <w:pPr>
        <w:spacing w:line="360" w:lineRule="auto"/>
        <w:rPr>
          <w:rFonts w:hAnsi="宋体"/>
          <w:color w:val="auto"/>
          <w:sz w:val="21"/>
          <w:szCs w:val="21"/>
          <w:highlight w:val="none"/>
        </w:rPr>
      </w:pPr>
      <w:r>
        <w:rPr>
          <w:rFonts w:hint="eastAsia" w:hAnsi="宋体"/>
          <w:color w:val="auto"/>
          <w:sz w:val="21"/>
          <w:szCs w:val="21"/>
          <w:highlight w:val="none"/>
        </w:rPr>
        <w:t>六、争议的解决</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因本保函发生的纠纷，由你我双方协商解决，协商不成的，通过诉讼程序解决，诉讼管辖地法院为</w:t>
      </w:r>
      <w:r>
        <w:rPr>
          <w:rFonts w:hint="eastAsia" w:hAnsi="宋体"/>
          <w:color w:val="auto"/>
          <w:sz w:val="21"/>
          <w:szCs w:val="21"/>
          <w:highlight w:val="none"/>
          <w:u w:val="single"/>
        </w:rPr>
        <w:t xml:space="preserve">       </w:t>
      </w:r>
      <w:r>
        <w:rPr>
          <w:rFonts w:hint="eastAsia" w:hAnsi="宋体"/>
          <w:color w:val="auto"/>
          <w:sz w:val="21"/>
          <w:szCs w:val="21"/>
          <w:highlight w:val="none"/>
        </w:rPr>
        <w:t>法院。</w:t>
      </w:r>
    </w:p>
    <w:p>
      <w:pPr>
        <w:spacing w:line="360" w:lineRule="auto"/>
        <w:rPr>
          <w:rFonts w:hAnsi="宋体"/>
          <w:color w:val="auto"/>
          <w:sz w:val="21"/>
          <w:szCs w:val="21"/>
          <w:highlight w:val="none"/>
        </w:rPr>
      </w:pPr>
      <w:r>
        <w:rPr>
          <w:rFonts w:hint="eastAsia" w:hAnsi="宋体"/>
          <w:color w:val="auto"/>
          <w:sz w:val="21"/>
          <w:szCs w:val="21"/>
          <w:highlight w:val="none"/>
        </w:rPr>
        <w:t>七 、保函的生效</w:t>
      </w:r>
    </w:p>
    <w:p>
      <w:pPr>
        <w:spacing w:line="360" w:lineRule="auto"/>
        <w:ind w:firstLine="420" w:firstLineChars="200"/>
        <w:rPr>
          <w:rFonts w:hAnsi="宋体"/>
          <w:color w:val="auto"/>
          <w:sz w:val="21"/>
          <w:szCs w:val="21"/>
          <w:highlight w:val="none"/>
        </w:rPr>
      </w:pPr>
      <w:r>
        <w:rPr>
          <w:rFonts w:hint="eastAsia" w:hAnsi="宋体"/>
          <w:color w:val="auto"/>
          <w:sz w:val="21"/>
          <w:szCs w:val="21"/>
          <w:highlight w:val="none"/>
        </w:rPr>
        <w:t>本保函自我方加盖公章之日起生效。</w:t>
      </w:r>
    </w:p>
    <w:p>
      <w:pPr>
        <w:spacing w:line="360" w:lineRule="auto"/>
        <w:jc w:val="right"/>
        <w:rPr>
          <w:rFonts w:hAnsi="宋体"/>
          <w:color w:val="auto"/>
          <w:sz w:val="21"/>
          <w:szCs w:val="21"/>
          <w:highlight w:val="none"/>
        </w:rPr>
      </w:pPr>
      <w:r>
        <w:rPr>
          <w:rFonts w:hint="eastAsia" w:hAnsi="宋体"/>
          <w:color w:val="auto"/>
          <w:sz w:val="21"/>
          <w:szCs w:val="21"/>
          <w:highlight w:val="none"/>
        </w:rPr>
        <w:t xml:space="preserve">保证人：（公章） </w:t>
      </w:r>
    </w:p>
    <w:p>
      <w:pPr>
        <w:spacing w:line="360" w:lineRule="auto"/>
        <w:jc w:val="right"/>
        <w:rPr>
          <w:rFonts w:hAnsi="宋体"/>
          <w:b/>
          <w:color w:val="auto"/>
          <w:sz w:val="28"/>
          <w:szCs w:val="28"/>
          <w:highlight w:val="none"/>
        </w:rPr>
      </w:pPr>
      <w:r>
        <w:rPr>
          <w:rFonts w:hint="eastAsia" w:hAnsi="宋体"/>
          <w:color w:val="auto"/>
          <w:sz w:val="21"/>
          <w:szCs w:val="21"/>
          <w:highlight w:val="none"/>
        </w:rPr>
        <w:t>年</w:t>
      </w:r>
      <w:r>
        <w:rPr>
          <w:rFonts w:hint="eastAsia" w:hAnsi="宋体"/>
          <w:color w:val="auto"/>
          <w:sz w:val="21"/>
          <w:szCs w:val="21"/>
          <w:highlight w:val="none"/>
        </w:rPr>
        <w:tab/>
      </w:r>
      <w:r>
        <w:rPr>
          <w:rFonts w:hint="eastAsia" w:hAnsi="宋体"/>
          <w:color w:val="auto"/>
          <w:sz w:val="21"/>
          <w:szCs w:val="21"/>
          <w:highlight w:val="none"/>
        </w:rPr>
        <w:t>月</w:t>
      </w:r>
      <w:r>
        <w:rPr>
          <w:rFonts w:hint="eastAsia" w:hAnsi="宋体"/>
          <w:color w:val="auto"/>
          <w:sz w:val="21"/>
          <w:szCs w:val="21"/>
          <w:highlight w:val="none"/>
        </w:rPr>
        <w:tab/>
      </w:r>
      <w:r>
        <w:rPr>
          <w:rFonts w:hint="eastAsia" w:hAnsi="宋体"/>
          <w:color w:val="auto"/>
          <w:sz w:val="21"/>
          <w:szCs w:val="21"/>
          <w:highlight w:val="none"/>
        </w:rPr>
        <w:t>日</w:t>
      </w:r>
    </w:p>
    <w:p>
      <w:pPr>
        <w:spacing w:line="360" w:lineRule="auto"/>
        <w:ind w:left="849" w:leftChars="178" w:hanging="422" w:hangingChars="201"/>
        <w:rPr>
          <w:rFonts w:hAnsi="宋体"/>
          <w:color w:val="auto"/>
          <w:sz w:val="21"/>
          <w:szCs w:val="21"/>
          <w:highlight w:val="none"/>
        </w:rPr>
      </w:pPr>
    </w:p>
    <w:p>
      <w:pPr>
        <w:pStyle w:val="155"/>
        <w:spacing w:line="360" w:lineRule="auto"/>
        <w:ind w:left="737" w:leftChars="176" w:hanging="315" w:hangingChars="150"/>
        <w:rPr>
          <w:rFonts w:ascii="宋体" w:hAnsi="宋体" w:cs="Times New Roman"/>
          <w:bCs/>
          <w:color w:val="auto"/>
          <w:kern w:val="2"/>
          <w:sz w:val="21"/>
          <w:szCs w:val="21"/>
          <w:highlight w:val="none"/>
        </w:rPr>
      </w:pPr>
      <w:bookmarkStart w:id="143" w:name="_Hlt10523642"/>
      <w:bookmarkEnd w:id="143"/>
    </w:p>
    <w:sectPr>
      <w:headerReference r:id="rId5" w:type="first"/>
      <w:headerReference r:id="rId4" w:type="default"/>
      <w:footerReference r:id="rId6" w:type="default"/>
      <w:footerReference r:id="rId7" w:type="even"/>
      <w:type w:val="nextColumn"/>
      <w:pgSz w:w="11907" w:h="16840"/>
      <w:pgMar w:top="1440" w:right="1440" w:bottom="1440" w:left="1440" w:header="720" w:footer="720" w:gutter="0"/>
      <w:pgNumType w:fmt="numberInDash"/>
      <w:cols w:space="720" w:num="1"/>
      <w:titlePg/>
      <w:docGrid w:linePitch="32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Garamond">
    <w:altName w:val="PMingLiU-ExtB"/>
    <w:panose1 w:val="02020404030301010803"/>
    <w:charset w:val="00"/>
    <w:family w:val="roman"/>
    <w:pitch w:val="default"/>
    <w:sig w:usb0="00000000" w:usb1="00000000" w:usb2="00000000" w:usb3="00000000" w:csb0="0000009F" w:csb1="DFD70000"/>
  </w:font>
  <w:font w:name="仿宋_GB2312">
    <w:altName w:val="仿宋"/>
    <w:panose1 w:val="02010609030101010101"/>
    <w:charset w:val="86"/>
    <w:family w:val="modern"/>
    <w:pitch w:val="default"/>
    <w:sig w:usb0="00000000" w:usb1="00000000" w:usb2="00000010" w:usb3="00000000" w:csb0="00040000" w:csb1="00000000"/>
  </w:font>
  <w:font w:name="Verdana">
    <w:panose1 w:val="020B0604030504040204"/>
    <w:charset w:val="00"/>
    <w:family w:val="swiss"/>
    <w:pitch w:val="default"/>
    <w:sig w:usb0="A00006FF" w:usb1="4000205B" w:usb2="00000010" w:usb3="00000000" w:csb0="2000019F" w:csb1="00000000"/>
  </w:font>
  <w:font w:name="Arial Unicode MS">
    <w:altName w:val="宋体"/>
    <w:panose1 w:val="020B0604020202020204"/>
    <w:charset w:val="86"/>
    <w:family w:val="swiss"/>
    <w:pitch w:val="default"/>
    <w:sig w:usb0="00000000" w:usb1="00000000" w:usb2="0000003F" w:usb3="00000000" w:csb0="603F01FF" w:csb1="FFFF0000"/>
  </w:font>
  <w:font w:name="Tahoma">
    <w:panose1 w:val="020B0604030504040204"/>
    <w:charset w:val="00"/>
    <w:family w:val="swiss"/>
    <w:pitch w:val="default"/>
    <w:sig w:usb0="E1002EFF" w:usb1="C000605B" w:usb2="00000029" w:usb3="00000000" w:csb0="200101FF" w:csb1="20280000"/>
  </w:font>
  <w:font w:name="楷体_GB2312">
    <w:altName w:val="楷体"/>
    <w:panose1 w:val="00000000000000000000"/>
    <w:charset w:val="86"/>
    <w:family w:val="modern"/>
    <w:pitch w:val="default"/>
    <w:sig w:usb0="00000000" w:usb1="00000000" w:usb2="00000000" w:usb3="00000000" w:csb0="00040000" w:csb1="00000000"/>
  </w:font>
  <w:font w:name="Arial Black">
    <w:panose1 w:val="020B0A04020102020204"/>
    <w:charset w:val="00"/>
    <w:family w:val="swiss"/>
    <w:pitch w:val="default"/>
    <w:sig w:usb0="A00002AF" w:usb1="400078FB" w:usb2="00000000" w:usb3="00000000" w:csb0="6000009F" w:csb1="DFD70000"/>
  </w:font>
  <w:font w:name="华文中宋">
    <w:panose1 w:val="02010600040101010101"/>
    <w:charset w:val="86"/>
    <w:family w:val="auto"/>
    <w:pitch w:val="default"/>
    <w:sig w:usb0="00000287" w:usb1="080F0000" w:usb2="00000000" w:usb3="00000000" w:csb0="0004009F" w:csb1="DFD7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PMingLiU-ExtB">
    <w:panose1 w:val="02020500000000000000"/>
    <w:charset w:val="88"/>
    <w:family w:val="auto"/>
    <w:pitch w:val="default"/>
    <w:sig w:usb0="8000002F" w:usb1="02000008" w:usb2="00000000" w:usb3="00000000" w:csb0="00100001"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023917717"/>
    </w:sdtPr>
    <w:sdtContent>
      <w:p>
        <w:pPr>
          <w:pStyle w:val="31"/>
          <w:jc w:val="center"/>
        </w:pPr>
        <w:r>
          <w:fldChar w:fldCharType="begin"/>
        </w:r>
        <w:r>
          <w:instrText xml:space="preserve">PAGE   \* MERGEFORMAT</w:instrText>
        </w:r>
        <w:r>
          <w:fldChar w:fldCharType="separate"/>
        </w:r>
        <w:r>
          <w:rPr>
            <w:lang w:val="zh-CN"/>
          </w:rPr>
          <w:t>19</w:t>
        </w:r>
        <w:r>
          <w:fldChar w:fldCharType="end"/>
        </w:r>
      </w:p>
    </w:sdtContent>
  </w:sdt>
  <w:p>
    <w:pPr>
      <w:pStyle w:val="31"/>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1"/>
      <w:jc w:val="center"/>
      <w:rPr>
        <w:sz w:val="21"/>
        <w:szCs w:val="21"/>
      </w:rPr>
    </w:pP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w:t>
    </w:r>
    <w:r>
      <w:rPr>
        <w:sz w:val="21"/>
        <w:szCs w:val="21"/>
      </w:rPr>
      <w:t xml:space="preserve"> 4 -</w:t>
    </w:r>
    <w:r>
      <w:rPr>
        <w:sz w:val="21"/>
        <w:szCs w:val="21"/>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1"/>
      <w:framePr w:wrap="around" w:vAnchor="text" w:hAnchor="margin" w:xAlign="right" w:y="1"/>
      <w:rPr>
        <w:rStyle w:val="52"/>
      </w:rPr>
    </w:pPr>
    <w:r>
      <w:fldChar w:fldCharType="begin"/>
    </w:r>
    <w:r>
      <w:rPr>
        <w:rStyle w:val="52"/>
      </w:rPr>
      <w:instrText xml:space="preserve">PAGE  </w:instrText>
    </w:r>
    <w:r>
      <w:fldChar w:fldCharType="end"/>
    </w:r>
  </w:p>
  <w:p>
    <w:pPr>
      <w:pStyle w:val="31"/>
      <w:ind w:right="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2"/>
      <w:jc w:val="right"/>
    </w:pPr>
    <w:r>
      <w:rPr>
        <w:rFonts w:hint="eastAsia"/>
        <w:sz w:val="21"/>
        <w:szCs w:val="21"/>
      </w:rPr>
      <w:t>广东中科招标有限公司  编制</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jc w:val="left"/>
      <w:rPr>
        <w:sz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CCA0310"/>
    <w:multiLevelType w:val="singleLevel"/>
    <w:tmpl w:val="9CCA0310"/>
    <w:lvl w:ilvl="0" w:tentative="0">
      <w:start w:val="1"/>
      <w:numFmt w:val="chineseCounting"/>
      <w:suff w:val="nothing"/>
      <w:lvlText w:val="（%1）"/>
      <w:lvlJc w:val="left"/>
      <w:pPr>
        <w:ind w:left="0" w:firstLine="420"/>
      </w:pPr>
      <w:rPr>
        <w:rFonts w:hint="eastAsia"/>
      </w:rPr>
    </w:lvl>
  </w:abstractNum>
  <w:abstractNum w:abstractNumId="1">
    <w:nsid w:val="E49338C8"/>
    <w:multiLevelType w:val="multilevel"/>
    <w:tmpl w:val="E49338C8"/>
    <w:lvl w:ilvl="0" w:tentative="0">
      <w:start w:val="1"/>
      <w:numFmt w:val="decimal"/>
      <w:lvlText w:val="(%1)"/>
      <w:lvlJc w:val="left"/>
      <w:pPr>
        <w:ind w:left="987" w:hanging="420"/>
      </w:pPr>
      <w:rPr>
        <w:rFonts w:hint="eastAsia" w:ascii="宋体" w:hAnsi="宋体" w:eastAsia="宋体"/>
        <w:b w:val="0"/>
        <w:bCs w:val="0"/>
      </w:rPr>
    </w:lvl>
    <w:lvl w:ilvl="1" w:tentative="0">
      <w:start w:val="1"/>
      <w:numFmt w:val="chineseCountingThousand"/>
      <w:suff w:val="space"/>
      <w:lvlText w:val="%2、"/>
      <w:lvlJc w:val="left"/>
      <w:pPr>
        <w:ind w:left="1347" w:hanging="360"/>
      </w:pPr>
      <w:rPr>
        <w:rFonts w:hint="eastAsia"/>
        <w:b/>
        <w:bCs/>
      </w:rPr>
    </w:lvl>
    <w:lvl w:ilvl="2" w:tentative="0">
      <w:start w:val="1"/>
      <w:numFmt w:val="lowerRoman"/>
      <w:lvlText w:val="%3."/>
      <w:lvlJc w:val="right"/>
      <w:pPr>
        <w:ind w:left="1827" w:hanging="420"/>
      </w:pPr>
      <w:rPr>
        <w:rFonts w:hint="eastAsia" w:ascii="Times New Roman" w:hAnsi="Times New Roman" w:cs="Times New Roman"/>
      </w:rPr>
    </w:lvl>
    <w:lvl w:ilvl="3" w:tentative="0">
      <w:start w:val="1"/>
      <w:numFmt w:val="decimal"/>
      <w:lvlText w:val="%4."/>
      <w:lvlJc w:val="left"/>
      <w:pPr>
        <w:ind w:left="2247" w:hanging="420"/>
      </w:pPr>
      <w:rPr>
        <w:rFonts w:hint="eastAsia" w:ascii="Times New Roman" w:hAnsi="Times New Roman" w:cs="Times New Roman"/>
      </w:rPr>
    </w:lvl>
    <w:lvl w:ilvl="4" w:tentative="0">
      <w:start w:val="1"/>
      <w:numFmt w:val="lowerLetter"/>
      <w:lvlText w:val="%5)"/>
      <w:lvlJc w:val="left"/>
      <w:pPr>
        <w:ind w:left="2667" w:hanging="420"/>
      </w:pPr>
      <w:rPr>
        <w:rFonts w:hint="eastAsia" w:ascii="Times New Roman" w:hAnsi="Times New Roman" w:cs="Times New Roman"/>
      </w:rPr>
    </w:lvl>
    <w:lvl w:ilvl="5" w:tentative="0">
      <w:start w:val="1"/>
      <w:numFmt w:val="lowerRoman"/>
      <w:lvlText w:val="%6."/>
      <w:lvlJc w:val="right"/>
      <w:pPr>
        <w:ind w:left="3087" w:hanging="420"/>
      </w:pPr>
      <w:rPr>
        <w:rFonts w:hint="eastAsia" w:ascii="Times New Roman" w:hAnsi="Times New Roman" w:cs="Times New Roman"/>
      </w:rPr>
    </w:lvl>
    <w:lvl w:ilvl="6" w:tentative="0">
      <w:start w:val="1"/>
      <w:numFmt w:val="decimal"/>
      <w:lvlText w:val="%7."/>
      <w:lvlJc w:val="left"/>
      <w:pPr>
        <w:ind w:left="3507" w:hanging="420"/>
      </w:pPr>
      <w:rPr>
        <w:rFonts w:hint="eastAsia" w:ascii="Times New Roman" w:hAnsi="Times New Roman" w:cs="Times New Roman"/>
      </w:rPr>
    </w:lvl>
    <w:lvl w:ilvl="7" w:tentative="0">
      <w:start w:val="1"/>
      <w:numFmt w:val="lowerLetter"/>
      <w:lvlText w:val="%8)"/>
      <w:lvlJc w:val="left"/>
      <w:pPr>
        <w:ind w:left="3927" w:hanging="420"/>
      </w:pPr>
      <w:rPr>
        <w:rFonts w:hint="eastAsia" w:ascii="Times New Roman" w:hAnsi="Times New Roman" w:cs="Times New Roman"/>
      </w:rPr>
    </w:lvl>
    <w:lvl w:ilvl="8" w:tentative="0">
      <w:start w:val="1"/>
      <w:numFmt w:val="lowerRoman"/>
      <w:lvlText w:val="%9."/>
      <w:lvlJc w:val="right"/>
      <w:pPr>
        <w:ind w:left="4347" w:hanging="420"/>
      </w:pPr>
      <w:rPr>
        <w:rFonts w:hint="eastAsia" w:ascii="Times New Roman" w:hAnsi="Times New Roman" w:cs="Times New Roman"/>
      </w:rPr>
    </w:lvl>
  </w:abstractNum>
  <w:abstractNum w:abstractNumId="2">
    <w:nsid w:val="EBBD2152"/>
    <w:multiLevelType w:val="singleLevel"/>
    <w:tmpl w:val="EBBD2152"/>
    <w:lvl w:ilvl="0" w:tentative="0">
      <w:start w:val="1"/>
      <w:numFmt w:val="chineseCounting"/>
      <w:suff w:val="nothing"/>
      <w:lvlText w:val="（%1）"/>
      <w:lvlJc w:val="left"/>
      <w:pPr>
        <w:ind w:left="0" w:firstLine="420"/>
      </w:pPr>
      <w:rPr>
        <w:rFonts w:hint="eastAsia"/>
      </w:rPr>
    </w:lvl>
  </w:abstractNum>
  <w:abstractNum w:abstractNumId="3">
    <w:nsid w:val="ECE7F1A8"/>
    <w:multiLevelType w:val="singleLevel"/>
    <w:tmpl w:val="ECE7F1A8"/>
    <w:lvl w:ilvl="0" w:tentative="0">
      <w:start w:val="1"/>
      <w:numFmt w:val="decimal"/>
      <w:lvlText w:val="%1."/>
      <w:lvlJc w:val="left"/>
      <w:pPr>
        <w:ind w:left="425" w:hanging="425"/>
      </w:pPr>
      <w:rPr>
        <w:rFonts w:hint="default"/>
      </w:rPr>
    </w:lvl>
  </w:abstractNum>
  <w:abstractNum w:abstractNumId="4">
    <w:nsid w:val="ED9EC8F0"/>
    <w:multiLevelType w:val="singleLevel"/>
    <w:tmpl w:val="ED9EC8F0"/>
    <w:lvl w:ilvl="0" w:tentative="0">
      <w:start w:val="1"/>
      <w:numFmt w:val="decimal"/>
      <w:lvlText w:val="%1."/>
      <w:lvlJc w:val="left"/>
      <w:pPr>
        <w:ind w:left="425" w:hanging="425"/>
      </w:pPr>
      <w:rPr>
        <w:rFonts w:hint="default"/>
      </w:rPr>
    </w:lvl>
  </w:abstractNum>
  <w:abstractNum w:abstractNumId="5">
    <w:nsid w:val="027A319E"/>
    <w:multiLevelType w:val="multilevel"/>
    <w:tmpl w:val="027A319E"/>
    <w:lvl w:ilvl="0" w:tentative="0">
      <w:start w:val="1"/>
      <w:numFmt w:val="decimal"/>
      <w:lvlText w:val="%1"/>
      <w:lvlJc w:val="left"/>
      <w:pPr>
        <w:tabs>
          <w:tab w:val="left" w:pos="425"/>
        </w:tabs>
        <w:ind w:left="425" w:hanging="425"/>
      </w:pPr>
    </w:lvl>
    <w:lvl w:ilvl="1" w:tentative="0">
      <w:start w:val="1"/>
      <w:numFmt w:val="decimal"/>
      <w:pStyle w:val="123"/>
      <w:lvlText w:val="%1.%2"/>
      <w:lvlJc w:val="left"/>
      <w:pPr>
        <w:tabs>
          <w:tab w:val="left" w:pos="992"/>
        </w:tabs>
        <w:ind w:left="992" w:hanging="567"/>
      </w:pPr>
    </w:lvl>
    <w:lvl w:ilvl="2" w:tentative="0">
      <w:start w:val="1"/>
      <w:numFmt w:val="decimal"/>
      <w:lvlText w:val="%1.%2.%3"/>
      <w:lvlJc w:val="left"/>
      <w:pPr>
        <w:tabs>
          <w:tab w:val="left" w:pos="1418"/>
        </w:tabs>
        <w:ind w:left="1418" w:hanging="567"/>
      </w:pPr>
    </w:lvl>
    <w:lvl w:ilvl="3" w:tentative="0">
      <w:start w:val="1"/>
      <w:numFmt w:val="decimal"/>
      <w:lvlText w:val="%1.%2.%3.%4"/>
      <w:lvlJc w:val="left"/>
      <w:pPr>
        <w:tabs>
          <w:tab w:val="left" w:pos="1984"/>
        </w:tabs>
        <w:ind w:left="1984" w:hanging="708"/>
      </w:pPr>
    </w:lvl>
    <w:lvl w:ilvl="4" w:tentative="0">
      <w:start w:val="1"/>
      <w:numFmt w:val="decimal"/>
      <w:lvlText w:val="%1.%2.%3.%4.%5"/>
      <w:lvlJc w:val="left"/>
      <w:pPr>
        <w:tabs>
          <w:tab w:val="left" w:pos="2551"/>
        </w:tabs>
        <w:ind w:left="2551" w:hanging="850"/>
      </w:pPr>
    </w:lvl>
    <w:lvl w:ilvl="5" w:tentative="0">
      <w:start w:val="1"/>
      <w:numFmt w:val="decimal"/>
      <w:lvlText w:val="%1.%2.%3.%4.%5.%6"/>
      <w:lvlJc w:val="left"/>
      <w:pPr>
        <w:tabs>
          <w:tab w:val="left" w:pos="3260"/>
        </w:tabs>
        <w:ind w:left="3260" w:hanging="1134"/>
      </w:pPr>
    </w:lvl>
    <w:lvl w:ilvl="6" w:tentative="0">
      <w:start w:val="1"/>
      <w:numFmt w:val="decimal"/>
      <w:lvlText w:val="%1.%2.%3.%4.%5.%6.%7"/>
      <w:lvlJc w:val="left"/>
      <w:pPr>
        <w:tabs>
          <w:tab w:val="left" w:pos="3827"/>
        </w:tabs>
        <w:ind w:left="3827" w:hanging="1276"/>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6">
    <w:nsid w:val="053B64FF"/>
    <w:multiLevelType w:val="multilevel"/>
    <w:tmpl w:val="053B64FF"/>
    <w:lvl w:ilvl="0" w:tentative="0">
      <w:start w:val="1"/>
      <w:numFmt w:val="decimal"/>
      <w:pStyle w:val="14"/>
      <w:lvlText w:val="(%1)"/>
      <w:lvlJc w:val="left"/>
      <w:pPr>
        <w:tabs>
          <w:tab w:val="left" w:pos="360"/>
        </w:tabs>
        <w:ind w:left="360" w:hanging="36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7">
    <w:nsid w:val="065C277D"/>
    <w:multiLevelType w:val="multilevel"/>
    <w:tmpl w:val="065C277D"/>
    <w:lvl w:ilvl="0" w:tentative="0">
      <w:start w:val="1"/>
      <w:numFmt w:val="chineseCountingThousand"/>
      <w:lvlText w:val="%1、"/>
      <w:lvlJc w:val="left"/>
      <w:pPr>
        <w:ind w:left="1687" w:hanging="420"/>
      </w:pPr>
      <w:rPr>
        <w:rFonts w:hint="eastAsia"/>
      </w:rPr>
    </w:lvl>
    <w:lvl w:ilvl="1" w:tentative="0">
      <w:start w:val="1"/>
      <w:numFmt w:val="decimalEnclosedCircle"/>
      <w:lvlText w:val="%2"/>
      <w:lvlJc w:val="left"/>
      <w:pPr>
        <w:ind w:left="2047" w:hanging="360"/>
      </w:pPr>
      <w:rPr>
        <w:rFonts w:hint="default"/>
      </w:rPr>
    </w:lvl>
    <w:lvl w:ilvl="2" w:tentative="0">
      <w:start w:val="1"/>
      <w:numFmt w:val="lowerRoman"/>
      <w:lvlText w:val="%3."/>
      <w:lvlJc w:val="right"/>
      <w:pPr>
        <w:ind w:left="2527" w:hanging="420"/>
      </w:pPr>
    </w:lvl>
    <w:lvl w:ilvl="3" w:tentative="0">
      <w:start w:val="1"/>
      <w:numFmt w:val="decimal"/>
      <w:lvlText w:val="%4."/>
      <w:lvlJc w:val="left"/>
      <w:pPr>
        <w:ind w:left="2947" w:hanging="420"/>
      </w:pPr>
    </w:lvl>
    <w:lvl w:ilvl="4" w:tentative="0">
      <w:start w:val="1"/>
      <w:numFmt w:val="lowerLetter"/>
      <w:lvlText w:val="%5)"/>
      <w:lvlJc w:val="left"/>
      <w:pPr>
        <w:ind w:left="3367" w:hanging="420"/>
      </w:pPr>
    </w:lvl>
    <w:lvl w:ilvl="5" w:tentative="0">
      <w:start w:val="1"/>
      <w:numFmt w:val="lowerRoman"/>
      <w:lvlText w:val="%6."/>
      <w:lvlJc w:val="right"/>
      <w:pPr>
        <w:ind w:left="3787" w:hanging="420"/>
      </w:pPr>
    </w:lvl>
    <w:lvl w:ilvl="6" w:tentative="0">
      <w:start w:val="1"/>
      <w:numFmt w:val="decimal"/>
      <w:lvlText w:val="%7."/>
      <w:lvlJc w:val="left"/>
      <w:pPr>
        <w:ind w:left="4207" w:hanging="420"/>
      </w:pPr>
    </w:lvl>
    <w:lvl w:ilvl="7" w:tentative="0">
      <w:start w:val="1"/>
      <w:numFmt w:val="lowerLetter"/>
      <w:lvlText w:val="%8)"/>
      <w:lvlJc w:val="left"/>
      <w:pPr>
        <w:ind w:left="4627" w:hanging="420"/>
      </w:pPr>
    </w:lvl>
    <w:lvl w:ilvl="8" w:tentative="0">
      <w:start w:val="1"/>
      <w:numFmt w:val="lowerRoman"/>
      <w:lvlText w:val="%9."/>
      <w:lvlJc w:val="right"/>
      <w:pPr>
        <w:ind w:left="5047" w:hanging="420"/>
      </w:pPr>
    </w:lvl>
  </w:abstractNum>
  <w:abstractNum w:abstractNumId="8">
    <w:nsid w:val="0D9C474A"/>
    <w:multiLevelType w:val="multilevel"/>
    <w:tmpl w:val="0D9C474A"/>
    <w:lvl w:ilvl="0" w:tentative="0">
      <w:start w:val="1"/>
      <w:numFmt w:val="chineseCountingThousand"/>
      <w:lvlText w:val="%1、"/>
      <w:lvlJc w:val="left"/>
      <w:pPr>
        <w:ind w:left="420" w:hanging="420"/>
      </w:pPr>
      <w:rPr>
        <w:rFonts w:hint="eastAsia"/>
      </w:rPr>
    </w:lvl>
    <w:lvl w:ilvl="1" w:tentative="0">
      <w:start w:val="1"/>
      <w:numFmt w:val="chineseCountingThousand"/>
      <w:lvlText w:val="%2、"/>
      <w:lvlJc w:val="left"/>
      <w:pPr>
        <w:ind w:left="840" w:hanging="420"/>
      </w:pPr>
      <w:rPr>
        <w:rFonts w:hint="eastAsia"/>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9">
    <w:nsid w:val="157D7876"/>
    <w:multiLevelType w:val="singleLevel"/>
    <w:tmpl w:val="157D7876"/>
    <w:lvl w:ilvl="0" w:tentative="0">
      <w:start w:val="1"/>
      <w:numFmt w:val="decimal"/>
      <w:lvlText w:val="%1."/>
      <w:lvlJc w:val="left"/>
      <w:pPr>
        <w:ind w:left="425" w:hanging="425"/>
      </w:pPr>
      <w:rPr>
        <w:rFonts w:hint="default"/>
      </w:rPr>
    </w:lvl>
  </w:abstractNum>
  <w:abstractNum w:abstractNumId="10">
    <w:nsid w:val="20633EE1"/>
    <w:multiLevelType w:val="multilevel"/>
    <w:tmpl w:val="20633EE1"/>
    <w:lvl w:ilvl="0" w:tentative="0">
      <w:start w:val="1"/>
      <w:numFmt w:val="chineseCountingThousand"/>
      <w:lvlText w:val="%1、"/>
      <w:lvlJc w:val="left"/>
      <w:pPr>
        <w:ind w:left="1687" w:hanging="420"/>
      </w:pPr>
      <w:rPr>
        <w:rFonts w:hint="eastAsia"/>
      </w:rPr>
    </w:lvl>
    <w:lvl w:ilvl="1" w:tentative="0">
      <w:start w:val="1"/>
      <w:numFmt w:val="lowerLetter"/>
      <w:lvlText w:val="%2)"/>
      <w:lvlJc w:val="left"/>
      <w:pPr>
        <w:ind w:left="2107" w:hanging="420"/>
      </w:pPr>
    </w:lvl>
    <w:lvl w:ilvl="2" w:tentative="0">
      <w:start w:val="1"/>
      <w:numFmt w:val="lowerRoman"/>
      <w:lvlText w:val="%3."/>
      <w:lvlJc w:val="right"/>
      <w:pPr>
        <w:ind w:left="2527" w:hanging="420"/>
      </w:pPr>
    </w:lvl>
    <w:lvl w:ilvl="3" w:tentative="0">
      <w:start w:val="1"/>
      <w:numFmt w:val="decimal"/>
      <w:lvlText w:val="%4."/>
      <w:lvlJc w:val="left"/>
      <w:pPr>
        <w:ind w:left="2947" w:hanging="420"/>
      </w:pPr>
    </w:lvl>
    <w:lvl w:ilvl="4" w:tentative="0">
      <w:start w:val="1"/>
      <w:numFmt w:val="lowerLetter"/>
      <w:lvlText w:val="%5)"/>
      <w:lvlJc w:val="left"/>
      <w:pPr>
        <w:ind w:left="3367" w:hanging="420"/>
      </w:pPr>
    </w:lvl>
    <w:lvl w:ilvl="5" w:tentative="0">
      <w:start w:val="1"/>
      <w:numFmt w:val="lowerRoman"/>
      <w:lvlText w:val="%6."/>
      <w:lvlJc w:val="right"/>
      <w:pPr>
        <w:ind w:left="3787" w:hanging="420"/>
      </w:pPr>
    </w:lvl>
    <w:lvl w:ilvl="6" w:tentative="0">
      <w:start w:val="1"/>
      <w:numFmt w:val="decimal"/>
      <w:lvlText w:val="%7."/>
      <w:lvlJc w:val="left"/>
      <w:pPr>
        <w:ind w:left="4207" w:hanging="420"/>
      </w:pPr>
    </w:lvl>
    <w:lvl w:ilvl="7" w:tentative="0">
      <w:start w:val="1"/>
      <w:numFmt w:val="lowerLetter"/>
      <w:lvlText w:val="%8)"/>
      <w:lvlJc w:val="left"/>
      <w:pPr>
        <w:ind w:left="4627" w:hanging="420"/>
      </w:pPr>
    </w:lvl>
    <w:lvl w:ilvl="8" w:tentative="0">
      <w:start w:val="1"/>
      <w:numFmt w:val="lowerRoman"/>
      <w:lvlText w:val="%9."/>
      <w:lvlJc w:val="right"/>
      <w:pPr>
        <w:ind w:left="5047" w:hanging="420"/>
      </w:pPr>
    </w:lvl>
  </w:abstractNum>
  <w:abstractNum w:abstractNumId="11">
    <w:nsid w:val="251718F2"/>
    <w:multiLevelType w:val="multilevel"/>
    <w:tmpl w:val="251718F2"/>
    <w:lvl w:ilvl="0" w:tentative="0">
      <w:start w:val="1"/>
      <w:numFmt w:val="bullet"/>
      <w:pStyle w:val="115"/>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2">
    <w:nsid w:val="2A02D346"/>
    <w:multiLevelType w:val="singleLevel"/>
    <w:tmpl w:val="2A02D346"/>
    <w:lvl w:ilvl="0" w:tentative="0">
      <w:start w:val="1"/>
      <w:numFmt w:val="decimal"/>
      <w:lvlText w:val="%1."/>
      <w:lvlJc w:val="left"/>
      <w:pPr>
        <w:ind w:left="425" w:hanging="425"/>
      </w:pPr>
      <w:rPr>
        <w:rFonts w:hint="default"/>
      </w:rPr>
    </w:lvl>
  </w:abstractNum>
  <w:abstractNum w:abstractNumId="13">
    <w:nsid w:val="319676A1"/>
    <w:multiLevelType w:val="singleLevel"/>
    <w:tmpl w:val="319676A1"/>
    <w:lvl w:ilvl="0" w:tentative="0">
      <w:start w:val="3"/>
      <w:numFmt w:val="decimal"/>
      <w:suff w:val="nothing"/>
      <w:lvlText w:val="%1、"/>
      <w:lvlJc w:val="left"/>
    </w:lvl>
  </w:abstractNum>
  <w:abstractNum w:abstractNumId="14">
    <w:nsid w:val="33D24C9D"/>
    <w:multiLevelType w:val="multilevel"/>
    <w:tmpl w:val="33D24C9D"/>
    <w:lvl w:ilvl="0" w:tentative="0">
      <w:start w:val="1"/>
      <w:numFmt w:val="decimal"/>
      <w:lvlText w:val="%1）"/>
      <w:lvlJc w:val="left"/>
      <w:pPr>
        <w:tabs>
          <w:tab w:val="left" w:pos="1134"/>
        </w:tabs>
        <w:ind w:left="1134" w:hanging="567"/>
      </w:pPr>
      <w:rPr>
        <w:rFonts w:hint="eastAsia" w:ascii="宋体" w:eastAsia="宋体"/>
        <w:b w:val="0"/>
        <w:i w:val="0"/>
        <w:sz w:val="21"/>
      </w:rPr>
    </w:lvl>
    <w:lvl w:ilvl="1" w:tentative="0">
      <w:start w:val="1"/>
      <w:numFmt w:val="lowerLetter"/>
      <w:lvlText w:val="%2)"/>
      <w:lvlJc w:val="left"/>
      <w:pPr>
        <w:tabs>
          <w:tab w:val="left" w:pos="840"/>
        </w:tabs>
        <w:ind w:left="840" w:hanging="420"/>
      </w:pPr>
    </w:lvl>
    <w:lvl w:ilvl="2" w:tentative="0">
      <w:start w:val="21"/>
      <w:numFmt w:val="decimal"/>
      <w:lvlText w:val="%3"/>
      <w:lvlJc w:val="left"/>
      <w:pPr>
        <w:tabs>
          <w:tab w:val="left" w:pos="1920"/>
        </w:tabs>
        <w:ind w:left="1920" w:hanging="1080"/>
      </w:pPr>
      <w:rPr>
        <w:rFonts w:hint="default"/>
      </w:rPr>
    </w:lvl>
    <w:lvl w:ilvl="3" w:tentative="0">
      <w:start w:val="1"/>
      <w:numFmt w:val="decimal"/>
      <w:lvlText w:val="%4、"/>
      <w:lvlJc w:val="left"/>
      <w:pPr>
        <w:tabs>
          <w:tab w:val="left" w:pos="1620"/>
        </w:tabs>
        <w:ind w:left="1620" w:hanging="360"/>
      </w:pPr>
      <w:rPr>
        <w:rFonts w:hint="default"/>
        <w:b/>
      </w:r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5">
    <w:nsid w:val="34C226D8"/>
    <w:multiLevelType w:val="multilevel"/>
    <w:tmpl w:val="34C226D8"/>
    <w:lvl w:ilvl="0" w:tentative="0">
      <w:start w:val="1"/>
      <w:numFmt w:val="decimal"/>
      <w:lvlText w:val="（%1）"/>
      <w:lvlJc w:val="left"/>
      <w:pPr>
        <w:tabs>
          <w:tab w:val="left" w:pos="840"/>
        </w:tabs>
        <w:ind w:left="840" w:hanging="42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6">
    <w:nsid w:val="357515F9"/>
    <w:multiLevelType w:val="singleLevel"/>
    <w:tmpl w:val="357515F9"/>
    <w:lvl w:ilvl="0" w:tentative="0">
      <w:start w:val="1"/>
      <w:numFmt w:val="decimal"/>
      <w:lvlText w:val="%1."/>
      <w:lvlJc w:val="left"/>
      <w:pPr>
        <w:ind w:left="425" w:hanging="425"/>
      </w:pPr>
      <w:rPr>
        <w:rFonts w:hint="default"/>
      </w:rPr>
    </w:lvl>
  </w:abstractNum>
  <w:abstractNum w:abstractNumId="17">
    <w:nsid w:val="3F8A5608"/>
    <w:multiLevelType w:val="multilevel"/>
    <w:tmpl w:val="3F8A5608"/>
    <w:lvl w:ilvl="0" w:tentative="0">
      <w:start w:val="1"/>
      <w:numFmt w:val="decimal"/>
      <w:pStyle w:val="15"/>
      <w:lvlText w:val="%1、"/>
      <w:lvlJc w:val="left"/>
      <w:pPr>
        <w:tabs>
          <w:tab w:val="left" w:pos="420"/>
        </w:tabs>
        <w:ind w:left="840" w:hanging="420"/>
      </w:pPr>
      <w:rPr>
        <w:rFonts w:ascii="Times New Roman" w:hAnsi="Times New Roman" w:eastAsia="Times New Roman" w:cs="Times New Roman"/>
      </w:rPr>
    </w:lvl>
    <w:lvl w:ilvl="1" w:tentative="0">
      <w:start w:val="1"/>
      <w:numFmt w:val="bullet"/>
      <w:lvlText w:val=""/>
      <w:lvlJc w:val="left"/>
      <w:pPr>
        <w:tabs>
          <w:tab w:val="left" w:pos="1040"/>
        </w:tabs>
        <w:ind w:left="1040" w:hanging="420"/>
      </w:pPr>
      <w:rPr>
        <w:rFonts w:hint="default" w:ascii="Wingdings" w:hAnsi="Wingdings"/>
      </w:rPr>
    </w:lvl>
    <w:lvl w:ilvl="2" w:tentative="0">
      <w:start w:val="1"/>
      <w:numFmt w:val="decimal"/>
      <w:lvlText w:val="%3."/>
      <w:lvlJc w:val="left"/>
      <w:pPr>
        <w:tabs>
          <w:tab w:val="left" w:pos="1745"/>
        </w:tabs>
        <w:ind w:left="1745" w:hanging="705"/>
      </w:pPr>
      <w:rPr>
        <w:rFonts w:hint="default"/>
      </w:rPr>
    </w:lvl>
    <w:lvl w:ilvl="3" w:tentative="0">
      <w:start w:val="1"/>
      <w:numFmt w:val="bullet"/>
      <w:lvlText w:val=""/>
      <w:lvlJc w:val="left"/>
      <w:pPr>
        <w:tabs>
          <w:tab w:val="left" w:pos="1880"/>
        </w:tabs>
        <w:ind w:left="1880" w:hanging="420"/>
      </w:pPr>
      <w:rPr>
        <w:rFonts w:hint="default" w:ascii="Wingdings" w:hAnsi="Wingdings"/>
      </w:rPr>
    </w:lvl>
    <w:lvl w:ilvl="4" w:tentative="0">
      <w:start w:val="1"/>
      <w:numFmt w:val="bullet"/>
      <w:lvlText w:val=""/>
      <w:lvlJc w:val="left"/>
      <w:pPr>
        <w:tabs>
          <w:tab w:val="left" w:pos="2300"/>
        </w:tabs>
        <w:ind w:left="2300" w:hanging="420"/>
      </w:pPr>
      <w:rPr>
        <w:rFonts w:hint="default" w:ascii="Wingdings" w:hAnsi="Wingdings"/>
      </w:rPr>
    </w:lvl>
    <w:lvl w:ilvl="5" w:tentative="0">
      <w:start w:val="1"/>
      <w:numFmt w:val="bullet"/>
      <w:lvlText w:val=""/>
      <w:lvlJc w:val="left"/>
      <w:pPr>
        <w:tabs>
          <w:tab w:val="left" w:pos="2720"/>
        </w:tabs>
        <w:ind w:left="2720" w:hanging="420"/>
      </w:pPr>
      <w:rPr>
        <w:rFonts w:hint="default" w:ascii="Wingdings" w:hAnsi="Wingdings"/>
      </w:rPr>
    </w:lvl>
    <w:lvl w:ilvl="6" w:tentative="0">
      <w:start w:val="1"/>
      <w:numFmt w:val="bullet"/>
      <w:lvlText w:val=""/>
      <w:lvlJc w:val="left"/>
      <w:pPr>
        <w:tabs>
          <w:tab w:val="left" w:pos="3140"/>
        </w:tabs>
        <w:ind w:left="3140" w:hanging="420"/>
      </w:pPr>
      <w:rPr>
        <w:rFonts w:hint="default" w:ascii="Wingdings" w:hAnsi="Wingdings"/>
      </w:rPr>
    </w:lvl>
    <w:lvl w:ilvl="7" w:tentative="0">
      <w:start w:val="1"/>
      <w:numFmt w:val="bullet"/>
      <w:lvlText w:val=""/>
      <w:lvlJc w:val="left"/>
      <w:pPr>
        <w:tabs>
          <w:tab w:val="left" w:pos="3560"/>
        </w:tabs>
        <w:ind w:left="3560" w:hanging="420"/>
      </w:pPr>
      <w:rPr>
        <w:rFonts w:hint="default" w:ascii="Wingdings" w:hAnsi="Wingdings"/>
      </w:rPr>
    </w:lvl>
    <w:lvl w:ilvl="8" w:tentative="0">
      <w:start w:val="1"/>
      <w:numFmt w:val="bullet"/>
      <w:lvlText w:val=""/>
      <w:lvlJc w:val="left"/>
      <w:pPr>
        <w:tabs>
          <w:tab w:val="left" w:pos="3980"/>
        </w:tabs>
        <w:ind w:left="3980" w:hanging="420"/>
      </w:pPr>
      <w:rPr>
        <w:rFonts w:hint="default" w:ascii="Wingdings" w:hAnsi="Wingdings"/>
      </w:rPr>
    </w:lvl>
  </w:abstractNum>
  <w:abstractNum w:abstractNumId="18">
    <w:nsid w:val="41EDFE0F"/>
    <w:multiLevelType w:val="singleLevel"/>
    <w:tmpl w:val="41EDFE0F"/>
    <w:lvl w:ilvl="0" w:tentative="0">
      <w:start w:val="1"/>
      <w:numFmt w:val="chineseCounting"/>
      <w:suff w:val="nothing"/>
      <w:lvlText w:val="（%1）"/>
      <w:lvlJc w:val="left"/>
      <w:pPr>
        <w:ind w:left="0" w:firstLine="420"/>
      </w:pPr>
      <w:rPr>
        <w:rFonts w:hint="eastAsia"/>
      </w:rPr>
    </w:lvl>
  </w:abstractNum>
  <w:abstractNum w:abstractNumId="19">
    <w:nsid w:val="44290DF2"/>
    <w:multiLevelType w:val="multilevel"/>
    <w:tmpl w:val="44290DF2"/>
    <w:lvl w:ilvl="0" w:tentative="0">
      <w:start w:val="1"/>
      <w:numFmt w:val="chineseCountingThousand"/>
      <w:lvlText w:val="%1、"/>
      <w:lvlJc w:val="left"/>
      <w:pPr>
        <w:ind w:left="420" w:hanging="420"/>
      </w:pPr>
      <w:rPr>
        <w:rFonts w:hint="eastAsia"/>
      </w:rPr>
    </w:lvl>
    <w:lvl w:ilvl="1" w:tentative="0">
      <w:start w:val="1"/>
      <w:numFmt w:val="lowerLetter"/>
      <w:lvlText w:val="%2)"/>
      <w:lvlJc w:val="left"/>
      <w:pPr>
        <w:ind w:left="420" w:hanging="420"/>
      </w:pPr>
    </w:lvl>
    <w:lvl w:ilvl="2" w:tentative="0">
      <w:start w:val="1"/>
      <w:numFmt w:val="lowerRoman"/>
      <w:lvlText w:val="%3."/>
      <w:lvlJc w:val="right"/>
      <w:pPr>
        <w:ind w:left="840" w:hanging="420"/>
      </w:pPr>
    </w:lvl>
    <w:lvl w:ilvl="3" w:tentative="0">
      <w:start w:val="1"/>
      <w:numFmt w:val="decimal"/>
      <w:lvlText w:val="%4."/>
      <w:lvlJc w:val="left"/>
      <w:pPr>
        <w:ind w:left="1260" w:hanging="420"/>
      </w:pPr>
    </w:lvl>
    <w:lvl w:ilvl="4" w:tentative="0">
      <w:start w:val="1"/>
      <w:numFmt w:val="lowerLetter"/>
      <w:lvlText w:val="%5)"/>
      <w:lvlJc w:val="left"/>
      <w:pPr>
        <w:ind w:left="1680" w:hanging="420"/>
      </w:pPr>
    </w:lvl>
    <w:lvl w:ilvl="5" w:tentative="0">
      <w:start w:val="1"/>
      <w:numFmt w:val="lowerRoman"/>
      <w:lvlText w:val="%6."/>
      <w:lvlJc w:val="right"/>
      <w:pPr>
        <w:ind w:left="2100" w:hanging="420"/>
      </w:pPr>
    </w:lvl>
    <w:lvl w:ilvl="6" w:tentative="0">
      <w:start w:val="1"/>
      <w:numFmt w:val="decimal"/>
      <w:lvlText w:val="%7."/>
      <w:lvlJc w:val="left"/>
      <w:pPr>
        <w:ind w:left="2520" w:hanging="420"/>
      </w:pPr>
    </w:lvl>
    <w:lvl w:ilvl="7" w:tentative="0">
      <w:start w:val="1"/>
      <w:numFmt w:val="lowerLetter"/>
      <w:lvlText w:val="%8)"/>
      <w:lvlJc w:val="left"/>
      <w:pPr>
        <w:ind w:left="2940" w:hanging="420"/>
      </w:pPr>
    </w:lvl>
    <w:lvl w:ilvl="8" w:tentative="0">
      <w:start w:val="1"/>
      <w:numFmt w:val="lowerRoman"/>
      <w:lvlText w:val="%9."/>
      <w:lvlJc w:val="right"/>
      <w:pPr>
        <w:ind w:left="3360" w:hanging="420"/>
      </w:pPr>
    </w:lvl>
  </w:abstractNum>
  <w:abstractNum w:abstractNumId="20">
    <w:nsid w:val="497D06B1"/>
    <w:multiLevelType w:val="multilevel"/>
    <w:tmpl w:val="497D06B1"/>
    <w:lvl w:ilvl="0" w:tentative="0">
      <w:start w:val="1"/>
      <w:numFmt w:val="bullet"/>
      <w:pStyle w:val="113"/>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21">
    <w:nsid w:val="4A9B65B2"/>
    <w:multiLevelType w:val="multilevel"/>
    <w:tmpl w:val="4A9B65B2"/>
    <w:lvl w:ilvl="0" w:tentative="0">
      <w:start w:val="1"/>
      <w:numFmt w:val="decimal"/>
      <w:lvlText w:val="%1、"/>
      <w:lvlJc w:val="left"/>
      <w:pPr>
        <w:tabs>
          <w:tab w:val="left" w:pos="360"/>
        </w:tabs>
        <w:ind w:left="360" w:hanging="36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2">
    <w:nsid w:val="534B19D1"/>
    <w:multiLevelType w:val="multilevel"/>
    <w:tmpl w:val="534B19D1"/>
    <w:lvl w:ilvl="0" w:tentative="0">
      <w:start w:val="1"/>
      <w:numFmt w:val="decimal"/>
      <w:lvlText w:val="（%1）"/>
      <w:lvlJc w:val="left"/>
      <w:pPr>
        <w:tabs>
          <w:tab w:val="left" w:pos="840"/>
        </w:tabs>
        <w:ind w:left="840" w:hanging="42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3">
    <w:nsid w:val="64D9329E"/>
    <w:multiLevelType w:val="multilevel"/>
    <w:tmpl w:val="64D9329E"/>
    <w:lvl w:ilvl="0" w:tentative="0">
      <w:start w:val="1"/>
      <w:numFmt w:val="japaneseCounting"/>
      <w:lvlText w:val="第%1篇"/>
      <w:lvlJc w:val="left"/>
      <w:pPr>
        <w:ind w:left="1080" w:hanging="1080"/>
      </w:pPr>
      <w:rPr>
        <w:rFonts w:hint="default"/>
        <w:b/>
        <w:sz w:val="28"/>
        <w:szCs w:val="28"/>
      </w:rPr>
    </w:lvl>
    <w:lvl w:ilvl="1" w:tentative="0">
      <w:start w:val="1"/>
      <w:numFmt w:val="japaneseCounting"/>
      <w:lvlText w:val="（%2）"/>
      <w:lvlJc w:val="left"/>
      <w:pPr>
        <w:ind w:left="1185" w:hanging="765"/>
      </w:pPr>
      <w:rPr>
        <w:rFonts w:hint="default"/>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4">
    <w:nsid w:val="69A4F4AB"/>
    <w:multiLevelType w:val="singleLevel"/>
    <w:tmpl w:val="69A4F4AB"/>
    <w:lvl w:ilvl="0" w:tentative="0">
      <w:start w:val="1"/>
      <w:numFmt w:val="decimal"/>
      <w:lvlText w:val="%1."/>
      <w:lvlJc w:val="left"/>
      <w:pPr>
        <w:ind w:left="425" w:hanging="425"/>
      </w:pPr>
      <w:rPr>
        <w:rFonts w:hint="default"/>
      </w:rPr>
    </w:lvl>
  </w:abstractNum>
  <w:abstractNum w:abstractNumId="25">
    <w:nsid w:val="6E62761D"/>
    <w:multiLevelType w:val="multilevel"/>
    <w:tmpl w:val="6E62761D"/>
    <w:lvl w:ilvl="0" w:tentative="0">
      <w:start w:val="1"/>
      <w:numFmt w:val="bullet"/>
      <w:pStyle w:val="45"/>
      <w:lvlText w:val=""/>
      <w:lvlJc w:val="left"/>
      <w:pPr>
        <w:tabs>
          <w:tab w:val="left" w:pos="2121"/>
        </w:tabs>
        <w:ind w:left="2121" w:hanging="420"/>
      </w:pPr>
      <w:rPr>
        <w:rFonts w:hint="default" w:ascii="Wingdings" w:hAnsi="Wingdings"/>
      </w:rPr>
    </w:lvl>
    <w:lvl w:ilvl="1" w:tentative="0">
      <w:start w:val="1"/>
      <w:numFmt w:val="bullet"/>
      <w:lvlText w:val=""/>
      <w:lvlJc w:val="left"/>
      <w:pPr>
        <w:tabs>
          <w:tab w:val="left" w:pos="2541"/>
        </w:tabs>
        <w:ind w:left="2541" w:hanging="420"/>
      </w:pPr>
      <w:rPr>
        <w:rFonts w:hint="default" w:ascii="Wingdings" w:hAnsi="Wingdings"/>
      </w:rPr>
    </w:lvl>
    <w:lvl w:ilvl="2" w:tentative="0">
      <w:start w:val="1"/>
      <w:numFmt w:val="bullet"/>
      <w:lvlText w:val=""/>
      <w:lvlJc w:val="left"/>
      <w:pPr>
        <w:tabs>
          <w:tab w:val="left" w:pos="2961"/>
        </w:tabs>
        <w:ind w:left="2961" w:hanging="420"/>
      </w:pPr>
      <w:rPr>
        <w:rFonts w:hint="default" w:ascii="Wingdings" w:hAnsi="Wingdings"/>
      </w:rPr>
    </w:lvl>
    <w:lvl w:ilvl="3" w:tentative="0">
      <w:start w:val="1"/>
      <w:numFmt w:val="bullet"/>
      <w:lvlText w:val=""/>
      <w:lvlJc w:val="left"/>
      <w:pPr>
        <w:tabs>
          <w:tab w:val="left" w:pos="3381"/>
        </w:tabs>
        <w:ind w:left="3381" w:hanging="420"/>
      </w:pPr>
      <w:rPr>
        <w:rFonts w:hint="default" w:ascii="Wingdings" w:hAnsi="Wingdings"/>
      </w:rPr>
    </w:lvl>
    <w:lvl w:ilvl="4" w:tentative="0">
      <w:start w:val="1"/>
      <w:numFmt w:val="bullet"/>
      <w:lvlText w:val=""/>
      <w:lvlJc w:val="left"/>
      <w:pPr>
        <w:tabs>
          <w:tab w:val="left" w:pos="3801"/>
        </w:tabs>
        <w:ind w:left="3801" w:hanging="420"/>
      </w:pPr>
      <w:rPr>
        <w:rFonts w:hint="default" w:ascii="Wingdings" w:hAnsi="Wingdings"/>
      </w:rPr>
    </w:lvl>
    <w:lvl w:ilvl="5" w:tentative="0">
      <w:start w:val="1"/>
      <w:numFmt w:val="bullet"/>
      <w:lvlText w:val=""/>
      <w:lvlJc w:val="left"/>
      <w:pPr>
        <w:tabs>
          <w:tab w:val="left" w:pos="4221"/>
        </w:tabs>
        <w:ind w:left="4221" w:hanging="420"/>
      </w:pPr>
      <w:rPr>
        <w:rFonts w:hint="default" w:ascii="Wingdings" w:hAnsi="Wingdings"/>
      </w:rPr>
    </w:lvl>
    <w:lvl w:ilvl="6" w:tentative="0">
      <w:start w:val="1"/>
      <w:numFmt w:val="bullet"/>
      <w:lvlText w:val=""/>
      <w:lvlJc w:val="left"/>
      <w:pPr>
        <w:tabs>
          <w:tab w:val="left" w:pos="4641"/>
        </w:tabs>
        <w:ind w:left="4641" w:hanging="420"/>
      </w:pPr>
      <w:rPr>
        <w:rFonts w:hint="default" w:ascii="Wingdings" w:hAnsi="Wingdings"/>
      </w:rPr>
    </w:lvl>
    <w:lvl w:ilvl="7" w:tentative="0">
      <w:start w:val="1"/>
      <w:numFmt w:val="bullet"/>
      <w:lvlText w:val=""/>
      <w:lvlJc w:val="left"/>
      <w:pPr>
        <w:tabs>
          <w:tab w:val="left" w:pos="5061"/>
        </w:tabs>
        <w:ind w:left="5061" w:hanging="420"/>
      </w:pPr>
      <w:rPr>
        <w:rFonts w:hint="default" w:ascii="Wingdings" w:hAnsi="Wingdings"/>
      </w:rPr>
    </w:lvl>
    <w:lvl w:ilvl="8" w:tentative="0">
      <w:start w:val="1"/>
      <w:numFmt w:val="bullet"/>
      <w:lvlText w:val=""/>
      <w:lvlJc w:val="left"/>
      <w:pPr>
        <w:tabs>
          <w:tab w:val="left" w:pos="5481"/>
        </w:tabs>
        <w:ind w:left="5481" w:hanging="420"/>
      </w:pPr>
      <w:rPr>
        <w:rFonts w:hint="default" w:ascii="Wingdings" w:hAnsi="Wingdings"/>
      </w:rPr>
    </w:lvl>
  </w:abstractNum>
  <w:abstractNum w:abstractNumId="26">
    <w:nsid w:val="70CF7E49"/>
    <w:multiLevelType w:val="multilevel"/>
    <w:tmpl w:val="70CF7E49"/>
    <w:lvl w:ilvl="0" w:tentative="0">
      <w:start w:val="1"/>
      <w:numFmt w:val="decimal"/>
      <w:lvlText w:val="%1."/>
      <w:lvlJc w:val="left"/>
      <w:pPr>
        <w:tabs>
          <w:tab w:val="left" w:pos="420"/>
        </w:tabs>
        <w:ind w:left="0" w:firstLine="0"/>
      </w:pPr>
      <w:rPr>
        <w:rFonts w:hint="eastAsia"/>
      </w:rPr>
    </w:lvl>
    <w:lvl w:ilvl="1" w:tentative="0">
      <w:start w:val="1"/>
      <w:numFmt w:val="japaneseCounting"/>
      <w:lvlText w:val="%2、"/>
      <w:lvlJc w:val="left"/>
      <w:pPr>
        <w:tabs>
          <w:tab w:val="left" w:pos="1140"/>
        </w:tabs>
        <w:ind w:left="1140" w:hanging="720"/>
      </w:pPr>
      <w:rPr>
        <w:rFonts w:hint="default"/>
      </w:r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7">
    <w:nsid w:val="781920CE"/>
    <w:multiLevelType w:val="multilevel"/>
    <w:tmpl w:val="781920CE"/>
    <w:lvl w:ilvl="0" w:tentative="0">
      <w:start w:val="1"/>
      <w:numFmt w:val="japaneseCounting"/>
      <w:lvlText w:val="%1、"/>
      <w:lvlJc w:val="left"/>
      <w:pPr>
        <w:ind w:left="504" w:hanging="504"/>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8">
    <w:nsid w:val="7D810BBC"/>
    <w:multiLevelType w:val="singleLevel"/>
    <w:tmpl w:val="7D810BBC"/>
    <w:lvl w:ilvl="0" w:tentative="0">
      <w:start w:val="1"/>
      <w:numFmt w:val="chineseCounting"/>
      <w:suff w:val="nothing"/>
      <w:lvlText w:val="（%1）"/>
      <w:lvlJc w:val="left"/>
      <w:pPr>
        <w:ind w:left="0" w:firstLine="420"/>
      </w:pPr>
      <w:rPr>
        <w:rFonts w:hint="eastAsia"/>
      </w:rPr>
    </w:lvl>
  </w:abstractNum>
  <w:abstractNum w:abstractNumId="29">
    <w:nsid w:val="7F7F0F1B"/>
    <w:multiLevelType w:val="multilevel"/>
    <w:tmpl w:val="7F7F0F1B"/>
    <w:lvl w:ilvl="0" w:tentative="0">
      <w:start w:val="1"/>
      <w:numFmt w:val="chineseCountingThousand"/>
      <w:lvlText w:val="%1、"/>
      <w:lvlJc w:val="left"/>
      <w:pPr>
        <w:ind w:left="1555" w:hanging="420"/>
      </w:pPr>
      <w:rPr>
        <w:rFonts w:hint="eastAsia"/>
      </w:rPr>
    </w:lvl>
    <w:lvl w:ilvl="1" w:tentative="0">
      <w:start w:val="1"/>
      <w:numFmt w:val="lowerLetter"/>
      <w:lvlText w:val="%2)"/>
      <w:lvlJc w:val="left"/>
      <w:pPr>
        <w:ind w:left="2107" w:hanging="420"/>
      </w:pPr>
    </w:lvl>
    <w:lvl w:ilvl="2" w:tentative="0">
      <w:start w:val="1"/>
      <w:numFmt w:val="lowerRoman"/>
      <w:lvlText w:val="%3."/>
      <w:lvlJc w:val="right"/>
      <w:pPr>
        <w:ind w:left="2527" w:hanging="420"/>
      </w:pPr>
    </w:lvl>
    <w:lvl w:ilvl="3" w:tentative="0">
      <w:start w:val="1"/>
      <w:numFmt w:val="decimal"/>
      <w:lvlText w:val="%4."/>
      <w:lvlJc w:val="left"/>
      <w:pPr>
        <w:ind w:left="2947" w:hanging="420"/>
      </w:pPr>
    </w:lvl>
    <w:lvl w:ilvl="4" w:tentative="0">
      <w:start w:val="1"/>
      <w:numFmt w:val="lowerLetter"/>
      <w:lvlText w:val="%5)"/>
      <w:lvlJc w:val="left"/>
      <w:pPr>
        <w:ind w:left="3367" w:hanging="420"/>
      </w:pPr>
    </w:lvl>
    <w:lvl w:ilvl="5" w:tentative="0">
      <w:start w:val="1"/>
      <w:numFmt w:val="lowerRoman"/>
      <w:lvlText w:val="%6."/>
      <w:lvlJc w:val="right"/>
      <w:pPr>
        <w:ind w:left="3787" w:hanging="420"/>
      </w:pPr>
    </w:lvl>
    <w:lvl w:ilvl="6" w:tentative="0">
      <w:start w:val="1"/>
      <w:numFmt w:val="decimal"/>
      <w:lvlText w:val="%7."/>
      <w:lvlJc w:val="left"/>
      <w:pPr>
        <w:ind w:left="4207" w:hanging="420"/>
      </w:pPr>
    </w:lvl>
    <w:lvl w:ilvl="7" w:tentative="0">
      <w:start w:val="1"/>
      <w:numFmt w:val="lowerLetter"/>
      <w:lvlText w:val="%8)"/>
      <w:lvlJc w:val="left"/>
      <w:pPr>
        <w:ind w:left="4627" w:hanging="420"/>
      </w:pPr>
    </w:lvl>
    <w:lvl w:ilvl="8" w:tentative="0">
      <w:start w:val="1"/>
      <w:numFmt w:val="lowerRoman"/>
      <w:lvlText w:val="%9."/>
      <w:lvlJc w:val="right"/>
      <w:pPr>
        <w:ind w:left="5047" w:hanging="420"/>
      </w:pPr>
    </w:lvl>
  </w:abstractNum>
  <w:num w:numId="1">
    <w:abstractNumId w:val="6"/>
  </w:num>
  <w:num w:numId="2">
    <w:abstractNumId w:val="17"/>
  </w:num>
  <w:num w:numId="3">
    <w:abstractNumId w:val="25"/>
  </w:num>
  <w:num w:numId="4">
    <w:abstractNumId w:val="20"/>
  </w:num>
  <w:num w:numId="5">
    <w:abstractNumId w:val="11"/>
  </w:num>
  <w:num w:numId="6">
    <w:abstractNumId w:val="5"/>
  </w:num>
  <w:num w:numId="7">
    <w:abstractNumId w:val="23"/>
  </w:num>
  <w:num w:numId="8">
    <w:abstractNumId w:val="1"/>
  </w:num>
  <w:num w:numId="9">
    <w:abstractNumId w:val="28"/>
  </w:num>
  <w:num w:numId="10">
    <w:abstractNumId w:val="0"/>
  </w:num>
  <w:num w:numId="11">
    <w:abstractNumId w:val="24"/>
  </w:num>
  <w:num w:numId="12">
    <w:abstractNumId w:val="3"/>
  </w:num>
  <w:num w:numId="13">
    <w:abstractNumId w:val="16"/>
  </w:num>
  <w:num w:numId="14">
    <w:abstractNumId w:val="12"/>
  </w:num>
  <w:num w:numId="15">
    <w:abstractNumId w:val="4"/>
  </w:num>
  <w:num w:numId="16">
    <w:abstractNumId w:val="9"/>
  </w:num>
  <w:num w:numId="17">
    <w:abstractNumId w:val="2"/>
  </w:num>
  <w:num w:numId="18">
    <w:abstractNumId w:val="18"/>
  </w:num>
  <w:num w:numId="19">
    <w:abstractNumId w:val="27"/>
  </w:num>
  <w:num w:numId="20">
    <w:abstractNumId w:val="22"/>
  </w:num>
  <w:num w:numId="21">
    <w:abstractNumId w:val="15"/>
  </w:num>
  <w:num w:numId="22">
    <w:abstractNumId w:val="13"/>
  </w:num>
  <w:num w:numId="23">
    <w:abstractNumId w:val="21"/>
  </w:num>
  <w:num w:numId="24">
    <w:abstractNumId w:val="14"/>
  </w:num>
  <w:num w:numId="25">
    <w:abstractNumId w:val="29"/>
  </w:num>
  <w:num w:numId="26">
    <w:abstractNumId w:val="10"/>
  </w:num>
  <w:num w:numId="27">
    <w:abstractNumId w:val="7"/>
  </w:num>
  <w:num w:numId="28">
    <w:abstractNumId w:val="19"/>
  </w:num>
  <w:num w:numId="29">
    <w:abstractNumId w:val="26"/>
  </w:num>
  <w:num w:numId="3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720"/>
  <w:drawingGridHorizontalSpacing w:val="120"/>
  <w:drawingGridVerticalSpacing w:val="120"/>
  <w:displayHorizontalDrawingGridEvery w:val="1"/>
  <w:displayVerticalDrawingGridEvery w:val="1"/>
  <w:doNotUseMarginsForDrawingGridOrigin w:val="1"/>
  <w:drawingGridHorizontalOrigin w:val="1800"/>
  <w:drawingGridVerticalOrigin w:val="1440"/>
  <w:doNotShadeFormData w:val="1"/>
  <w:noPunctuationKerning w:val="1"/>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DU3ZjEzN2EwODI4N2M2NTY1ZjZhNmNmMjQwNjE4NDMifQ=="/>
  </w:docVars>
  <w:rsids>
    <w:rsidRoot w:val="00172A27"/>
    <w:rsid w:val="00003253"/>
    <w:rsid w:val="000044B9"/>
    <w:rsid w:val="0000647C"/>
    <w:rsid w:val="00013807"/>
    <w:rsid w:val="00015BB0"/>
    <w:rsid w:val="000201DC"/>
    <w:rsid w:val="00020AB9"/>
    <w:rsid w:val="00020B77"/>
    <w:rsid w:val="00026537"/>
    <w:rsid w:val="00027424"/>
    <w:rsid w:val="000277F1"/>
    <w:rsid w:val="00027BC3"/>
    <w:rsid w:val="00030AD6"/>
    <w:rsid w:val="000359FB"/>
    <w:rsid w:val="00036605"/>
    <w:rsid w:val="00042026"/>
    <w:rsid w:val="000420B8"/>
    <w:rsid w:val="000443EF"/>
    <w:rsid w:val="00046827"/>
    <w:rsid w:val="00047191"/>
    <w:rsid w:val="0005206F"/>
    <w:rsid w:val="00052333"/>
    <w:rsid w:val="00052E06"/>
    <w:rsid w:val="00060261"/>
    <w:rsid w:val="0006396E"/>
    <w:rsid w:val="0006768D"/>
    <w:rsid w:val="00072458"/>
    <w:rsid w:val="00074E09"/>
    <w:rsid w:val="000810F5"/>
    <w:rsid w:val="000829E1"/>
    <w:rsid w:val="00085D8F"/>
    <w:rsid w:val="0009008B"/>
    <w:rsid w:val="00090A0F"/>
    <w:rsid w:val="000935AA"/>
    <w:rsid w:val="00093DD3"/>
    <w:rsid w:val="00094470"/>
    <w:rsid w:val="000A019D"/>
    <w:rsid w:val="000A51EA"/>
    <w:rsid w:val="000B2A0B"/>
    <w:rsid w:val="000B7880"/>
    <w:rsid w:val="000C1566"/>
    <w:rsid w:val="000C1B69"/>
    <w:rsid w:val="000C36F2"/>
    <w:rsid w:val="000C3763"/>
    <w:rsid w:val="000C552B"/>
    <w:rsid w:val="000D0976"/>
    <w:rsid w:val="000D1011"/>
    <w:rsid w:val="000D3A37"/>
    <w:rsid w:val="000D417B"/>
    <w:rsid w:val="000D48BD"/>
    <w:rsid w:val="000D48E2"/>
    <w:rsid w:val="000D79FD"/>
    <w:rsid w:val="000D7F73"/>
    <w:rsid w:val="000E08D9"/>
    <w:rsid w:val="000E0C7D"/>
    <w:rsid w:val="000E1599"/>
    <w:rsid w:val="000E183F"/>
    <w:rsid w:val="000E231D"/>
    <w:rsid w:val="000E4D95"/>
    <w:rsid w:val="000F1CBC"/>
    <w:rsid w:val="000F26B9"/>
    <w:rsid w:val="000F36AE"/>
    <w:rsid w:val="000F663B"/>
    <w:rsid w:val="000F6F03"/>
    <w:rsid w:val="00100120"/>
    <w:rsid w:val="0010106C"/>
    <w:rsid w:val="00102717"/>
    <w:rsid w:val="00102BA1"/>
    <w:rsid w:val="0010436A"/>
    <w:rsid w:val="00104F28"/>
    <w:rsid w:val="00105F9C"/>
    <w:rsid w:val="001076BA"/>
    <w:rsid w:val="00107925"/>
    <w:rsid w:val="00110111"/>
    <w:rsid w:val="00113372"/>
    <w:rsid w:val="00113D54"/>
    <w:rsid w:val="001142E6"/>
    <w:rsid w:val="001144DA"/>
    <w:rsid w:val="00114A6D"/>
    <w:rsid w:val="00116457"/>
    <w:rsid w:val="00120DA5"/>
    <w:rsid w:val="001214AF"/>
    <w:rsid w:val="001261B9"/>
    <w:rsid w:val="0013008F"/>
    <w:rsid w:val="00130F16"/>
    <w:rsid w:val="001367A6"/>
    <w:rsid w:val="00142740"/>
    <w:rsid w:val="0014278C"/>
    <w:rsid w:val="00144201"/>
    <w:rsid w:val="00146C16"/>
    <w:rsid w:val="00150DAE"/>
    <w:rsid w:val="00152F73"/>
    <w:rsid w:val="00156AF6"/>
    <w:rsid w:val="00162878"/>
    <w:rsid w:val="00164201"/>
    <w:rsid w:val="001658FE"/>
    <w:rsid w:val="001664E8"/>
    <w:rsid w:val="00167C7B"/>
    <w:rsid w:val="001710AD"/>
    <w:rsid w:val="00172A27"/>
    <w:rsid w:val="00172DE4"/>
    <w:rsid w:val="001738EA"/>
    <w:rsid w:val="00173B6D"/>
    <w:rsid w:val="001764D5"/>
    <w:rsid w:val="00176C24"/>
    <w:rsid w:val="001776CF"/>
    <w:rsid w:val="001817E5"/>
    <w:rsid w:val="00181808"/>
    <w:rsid w:val="00184494"/>
    <w:rsid w:val="00185E0F"/>
    <w:rsid w:val="001864A3"/>
    <w:rsid w:val="0019040B"/>
    <w:rsid w:val="00190ED7"/>
    <w:rsid w:val="00191F07"/>
    <w:rsid w:val="001924A3"/>
    <w:rsid w:val="00193A38"/>
    <w:rsid w:val="0019781F"/>
    <w:rsid w:val="00197EC9"/>
    <w:rsid w:val="001A1718"/>
    <w:rsid w:val="001A1B1F"/>
    <w:rsid w:val="001A5351"/>
    <w:rsid w:val="001A6438"/>
    <w:rsid w:val="001A7693"/>
    <w:rsid w:val="001B171A"/>
    <w:rsid w:val="001B19FE"/>
    <w:rsid w:val="001B1B87"/>
    <w:rsid w:val="001B348C"/>
    <w:rsid w:val="001B3927"/>
    <w:rsid w:val="001B39A3"/>
    <w:rsid w:val="001B54CF"/>
    <w:rsid w:val="001C0430"/>
    <w:rsid w:val="001C1D1A"/>
    <w:rsid w:val="001C2C58"/>
    <w:rsid w:val="001C2E8C"/>
    <w:rsid w:val="001C3A30"/>
    <w:rsid w:val="001C5853"/>
    <w:rsid w:val="001D08E9"/>
    <w:rsid w:val="001D4AB6"/>
    <w:rsid w:val="001D651F"/>
    <w:rsid w:val="001D6709"/>
    <w:rsid w:val="001D7BBF"/>
    <w:rsid w:val="001E0531"/>
    <w:rsid w:val="001E0BD8"/>
    <w:rsid w:val="001E56E6"/>
    <w:rsid w:val="001E587E"/>
    <w:rsid w:val="001E68C7"/>
    <w:rsid w:val="001F268F"/>
    <w:rsid w:val="001F38C1"/>
    <w:rsid w:val="00200EF2"/>
    <w:rsid w:val="002016A1"/>
    <w:rsid w:val="00202640"/>
    <w:rsid w:val="00202FF7"/>
    <w:rsid w:val="002041E5"/>
    <w:rsid w:val="002064C6"/>
    <w:rsid w:val="00206BD0"/>
    <w:rsid w:val="002110A7"/>
    <w:rsid w:val="002118C0"/>
    <w:rsid w:val="00214078"/>
    <w:rsid w:val="00215F00"/>
    <w:rsid w:val="0021676C"/>
    <w:rsid w:val="00220984"/>
    <w:rsid w:val="00223665"/>
    <w:rsid w:val="002251C6"/>
    <w:rsid w:val="002265CA"/>
    <w:rsid w:val="00227CBB"/>
    <w:rsid w:val="002301D4"/>
    <w:rsid w:val="0023253C"/>
    <w:rsid w:val="00235C34"/>
    <w:rsid w:val="00236A09"/>
    <w:rsid w:val="00246550"/>
    <w:rsid w:val="00246FC3"/>
    <w:rsid w:val="00247365"/>
    <w:rsid w:val="00247D4C"/>
    <w:rsid w:val="0025028D"/>
    <w:rsid w:val="002502EB"/>
    <w:rsid w:val="0025405C"/>
    <w:rsid w:val="00257739"/>
    <w:rsid w:val="00260CE5"/>
    <w:rsid w:val="00263A4E"/>
    <w:rsid w:val="00264EE7"/>
    <w:rsid w:val="00267A7B"/>
    <w:rsid w:val="00272027"/>
    <w:rsid w:val="0027262A"/>
    <w:rsid w:val="00273568"/>
    <w:rsid w:val="0027440E"/>
    <w:rsid w:val="002767A6"/>
    <w:rsid w:val="00277696"/>
    <w:rsid w:val="00282601"/>
    <w:rsid w:val="00294596"/>
    <w:rsid w:val="00294CDF"/>
    <w:rsid w:val="002A07EC"/>
    <w:rsid w:val="002A0CF5"/>
    <w:rsid w:val="002A592F"/>
    <w:rsid w:val="002A7246"/>
    <w:rsid w:val="002A7A10"/>
    <w:rsid w:val="002B32FF"/>
    <w:rsid w:val="002B3C34"/>
    <w:rsid w:val="002B4152"/>
    <w:rsid w:val="002B5139"/>
    <w:rsid w:val="002B5A5F"/>
    <w:rsid w:val="002B63DC"/>
    <w:rsid w:val="002B73B4"/>
    <w:rsid w:val="002B74A3"/>
    <w:rsid w:val="002C0941"/>
    <w:rsid w:val="002C0EA1"/>
    <w:rsid w:val="002C21DD"/>
    <w:rsid w:val="002C585D"/>
    <w:rsid w:val="002C5DC2"/>
    <w:rsid w:val="002D1D47"/>
    <w:rsid w:val="002D3368"/>
    <w:rsid w:val="002D36EC"/>
    <w:rsid w:val="002D6D44"/>
    <w:rsid w:val="002E348C"/>
    <w:rsid w:val="002E763D"/>
    <w:rsid w:val="002F045A"/>
    <w:rsid w:val="002F3B52"/>
    <w:rsid w:val="00300A90"/>
    <w:rsid w:val="003016CC"/>
    <w:rsid w:val="00302F8D"/>
    <w:rsid w:val="003039D5"/>
    <w:rsid w:val="00305802"/>
    <w:rsid w:val="00305CEF"/>
    <w:rsid w:val="00307300"/>
    <w:rsid w:val="00311C71"/>
    <w:rsid w:val="00312ECA"/>
    <w:rsid w:val="003135A6"/>
    <w:rsid w:val="00317F4F"/>
    <w:rsid w:val="00320614"/>
    <w:rsid w:val="00321C84"/>
    <w:rsid w:val="00323CA9"/>
    <w:rsid w:val="00324C9A"/>
    <w:rsid w:val="00325D45"/>
    <w:rsid w:val="003348E5"/>
    <w:rsid w:val="00337755"/>
    <w:rsid w:val="0034232A"/>
    <w:rsid w:val="0034282B"/>
    <w:rsid w:val="0034448C"/>
    <w:rsid w:val="003464AF"/>
    <w:rsid w:val="00347657"/>
    <w:rsid w:val="003510F3"/>
    <w:rsid w:val="00352AB8"/>
    <w:rsid w:val="0035403C"/>
    <w:rsid w:val="00355A0C"/>
    <w:rsid w:val="00355E71"/>
    <w:rsid w:val="00356347"/>
    <w:rsid w:val="003569D4"/>
    <w:rsid w:val="00356EB4"/>
    <w:rsid w:val="00360BAF"/>
    <w:rsid w:val="0036317E"/>
    <w:rsid w:val="003635F2"/>
    <w:rsid w:val="0036419B"/>
    <w:rsid w:val="00364593"/>
    <w:rsid w:val="0036686A"/>
    <w:rsid w:val="0037003C"/>
    <w:rsid w:val="00371DD0"/>
    <w:rsid w:val="00372C3B"/>
    <w:rsid w:val="00373241"/>
    <w:rsid w:val="0037494B"/>
    <w:rsid w:val="0037699E"/>
    <w:rsid w:val="00377FA4"/>
    <w:rsid w:val="00386C2B"/>
    <w:rsid w:val="00390266"/>
    <w:rsid w:val="0039129A"/>
    <w:rsid w:val="003932B3"/>
    <w:rsid w:val="003955BF"/>
    <w:rsid w:val="00397A66"/>
    <w:rsid w:val="003A493D"/>
    <w:rsid w:val="003B0340"/>
    <w:rsid w:val="003B2110"/>
    <w:rsid w:val="003B23FF"/>
    <w:rsid w:val="003B2786"/>
    <w:rsid w:val="003B2A04"/>
    <w:rsid w:val="003B50A6"/>
    <w:rsid w:val="003B5163"/>
    <w:rsid w:val="003B62B6"/>
    <w:rsid w:val="003C06CC"/>
    <w:rsid w:val="003C1D8E"/>
    <w:rsid w:val="003C36AA"/>
    <w:rsid w:val="003C36B7"/>
    <w:rsid w:val="003C6C63"/>
    <w:rsid w:val="003D3874"/>
    <w:rsid w:val="003D4587"/>
    <w:rsid w:val="003D73AD"/>
    <w:rsid w:val="003D794B"/>
    <w:rsid w:val="003E0593"/>
    <w:rsid w:val="003E3866"/>
    <w:rsid w:val="003E50C7"/>
    <w:rsid w:val="003F035C"/>
    <w:rsid w:val="003F12C7"/>
    <w:rsid w:val="003F2A53"/>
    <w:rsid w:val="003F3252"/>
    <w:rsid w:val="003F7E1E"/>
    <w:rsid w:val="003F7FA3"/>
    <w:rsid w:val="004008FD"/>
    <w:rsid w:val="00401C62"/>
    <w:rsid w:val="004059D0"/>
    <w:rsid w:val="00406861"/>
    <w:rsid w:val="00410173"/>
    <w:rsid w:val="00410310"/>
    <w:rsid w:val="00412D9B"/>
    <w:rsid w:val="00413662"/>
    <w:rsid w:val="00415131"/>
    <w:rsid w:val="00416E30"/>
    <w:rsid w:val="00421377"/>
    <w:rsid w:val="0042155D"/>
    <w:rsid w:val="00421E0C"/>
    <w:rsid w:val="00423A64"/>
    <w:rsid w:val="0042535F"/>
    <w:rsid w:val="0042680C"/>
    <w:rsid w:val="00426B4A"/>
    <w:rsid w:val="00427976"/>
    <w:rsid w:val="004307D7"/>
    <w:rsid w:val="004342B6"/>
    <w:rsid w:val="0043485B"/>
    <w:rsid w:val="0043549B"/>
    <w:rsid w:val="00436088"/>
    <w:rsid w:val="004435BA"/>
    <w:rsid w:val="00446073"/>
    <w:rsid w:val="00446B4E"/>
    <w:rsid w:val="00446B8E"/>
    <w:rsid w:val="00447D45"/>
    <w:rsid w:val="00453540"/>
    <w:rsid w:val="00454AEA"/>
    <w:rsid w:val="00454D13"/>
    <w:rsid w:val="00456C10"/>
    <w:rsid w:val="00456DDE"/>
    <w:rsid w:val="0046021F"/>
    <w:rsid w:val="0046361B"/>
    <w:rsid w:val="00463645"/>
    <w:rsid w:val="004657F4"/>
    <w:rsid w:val="004662A4"/>
    <w:rsid w:val="00466A3F"/>
    <w:rsid w:val="004671BE"/>
    <w:rsid w:val="00471AD8"/>
    <w:rsid w:val="0047691C"/>
    <w:rsid w:val="0047750C"/>
    <w:rsid w:val="0048179A"/>
    <w:rsid w:val="00483918"/>
    <w:rsid w:val="00483980"/>
    <w:rsid w:val="00484EF3"/>
    <w:rsid w:val="0048683E"/>
    <w:rsid w:val="0049444C"/>
    <w:rsid w:val="00495AE4"/>
    <w:rsid w:val="004A133F"/>
    <w:rsid w:val="004A18B3"/>
    <w:rsid w:val="004A24A0"/>
    <w:rsid w:val="004A4770"/>
    <w:rsid w:val="004A5FF6"/>
    <w:rsid w:val="004A6EB3"/>
    <w:rsid w:val="004B0740"/>
    <w:rsid w:val="004B0A8B"/>
    <w:rsid w:val="004B16F2"/>
    <w:rsid w:val="004B208A"/>
    <w:rsid w:val="004B24DE"/>
    <w:rsid w:val="004B2E6C"/>
    <w:rsid w:val="004B5DE3"/>
    <w:rsid w:val="004C5D1F"/>
    <w:rsid w:val="004D2F61"/>
    <w:rsid w:val="004D3973"/>
    <w:rsid w:val="004D3FDD"/>
    <w:rsid w:val="004D50D1"/>
    <w:rsid w:val="004E1C2E"/>
    <w:rsid w:val="004E2822"/>
    <w:rsid w:val="004E2BFA"/>
    <w:rsid w:val="004E426C"/>
    <w:rsid w:val="004E677A"/>
    <w:rsid w:val="004F0FAE"/>
    <w:rsid w:val="004F2CC9"/>
    <w:rsid w:val="004F68E3"/>
    <w:rsid w:val="0050039F"/>
    <w:rsid w:val="00501673"/>
    <w:rsid w:val="0050578F"/>
    <w:rsid w:val="00505893"/>
    <w:rsid w:val="00506CCF"/>
    <w:rsid w:val="005073F8"/>
    <w:rsid w:val="005119A2"/>
    <w:rsid w:val="00511A7E"/>
    <w:rsid w:val="00511DA3"/>
    <w:rsid w:val="00513903"/>
    <w:rsid w:val="0051718B"/>
    <w:rsid w:val="00523CD7"/>
    <w:rsid w:val="0052425D"/>
    <w:rsid w:val="00525F73"/>
    <w:rsid w:val="00530E76"/>
    <w:rsid w:val="005331D6"/>
    <w:rsid w:val="005343CF"/>
    <w:rsid w:val="005355A3"/>
    <w:rsid w:val="005414DE"/>
    <w:rsid w:val="0054327C"/>
    <w:rsid w:val="005449BB"/>
    <w:rsid w:val="00546DF4"/>
    <w:rsid w:val="00550675"/>
    <w:rsid w:val="00550B50"/>
    <w:rsid w:val="00553131"/>
    <w:rsid w:val="00554E2F"/>
    <w:rsid w:val="005557A7"/>
    <w:rsid w:val="00562002"/>
    <w:rsid w:val="0056529D"/>
    <w:rsid w:val="00565588"/>
    <w:rsid w:val="0056600F"/>
    <w:rsid w:val="005711A5"/>
    <w:rsid w:val="00572AD3"/>
    <w:rsid w:val="00573820"/>
    <w:rsid w:val="00573E83"/>
    <w:rsid w:val="00574F95"/>
    <w:rsid w:val="00576448"/>
    <w:rsid w:val="00576828"/>
    <w:rsid w:val="0057767E"/>
    <w:rsid w:val="00582E24"/>
    <w:rsid w:val="00583995"/>
    <w:rsid w:val="0058412A"/>
    <w:rsid w:val="00585518"/>
    <w:rsid w:val="0058671A"/>
    <w:rsid w:val="00587C70"/>
    <w:rsid w:val="00591AB4"/>
    <w:rsid w:val="00593905"/>
    <w:rsid w:val="005939B4"/>
    <w:rsid w:val="00594DA9"/>
    <w:rsid w:val="005950F7"/>
    <w:rsid w:val="005A2C9F"/>
    <w:rsid w:val="005A361C"/>
    <w:rsid w:val="005A3B45"/>
    <w:rsid w:val="005A473B"/>
    <w:rsid w:val="005B0C3B"/>
    <w:rsid w:val="005B2323"/>
    <w:rsid w:val="005B3A24"/>
    <w:rsid w:val="005B669D"/>
    <w:rsid w:val="005C0BCD"/>
    <w:rsid w:val="005C2614"/>
    <w:rsid w:val="005C3781"/>
    <w:rsid w:val="005C39B9"/>
    <w:rsid w:val="005D0932"/>
    <w:rsid w:val="005D0E8A"/>
    <w:rsid w:val="005D16EB"/>
    <w:rsid w:val="005D26CD"/>
    <w:rsid w:val="005D2F4E"/>
    <w:rsid w:val="005D3835"/>
    <w:rsid w:val="005D6886"/>
    <w:rsid w:val="005D6B00"/>
    <w:rsid w:val="005D7379"/>
    <w:rsid w:val="005E013C"/>
    <w:rsid w:val="005E0F94"/>
    <w:rsid w:val="005F0094"/>
    <w:rsid w:val="005F19A7"/>
    <w:rsid w:val="005F5437"/>
    <w:rsid w:val="00600CA0"/>
    <w:rsid w:val="00602161"/>
    <w:rsid w:val="00602691"/>
    <w:rsid w:val="00602697"/>
    <w:rsid w:val="00611ACB"/>
    <w:rsid w:val="00612020"/>
    <w:rsid w:val="00612099"/>
    <w:rsid w:val="00612C7F"/>
    <w:rsid w:val="00614A58"/>
    <w:rsid w:val="00615933"/>
    <w:rsid w:val="00616DDA"/>
    <w:rsid w:val="006178C6"/>
    <w:rsid w:val="00621A7C"/>
    <w:rsid w:val="00622235"/>
    <w:rsid w:val="0062500D"/>
    <w:rsid w:val="00632500"/>
    <w:rsid w:val="00636EAE"/>
    <w:rsid w:val="00637C88"/>
    <w:rsid w:val="0064043F"/>
    <w:rsid w:val="00640E0F"/>
    <w:rsid w:val="006431F7"/>
    <w:rsid w:val="0064736D"/>
    <w:rsid w:val="00651A75"/>
    <w:rsid w:val="00651CE0"/>
    <w:rsid w:val="00652F11"/>
    <w:rsid w:val="006567EA"/>
    <w:rsid w:val="00660A9E"/>
    <w:rsid w:val="00660F28"/>
    <w:rsid w:val="00661336"/>
    <w:rsid w:val="00661E11"/>
    <w:rsid w:val="00662100"/>
    <w:rsid w:val="006625A9"/>
    <w:rsid w:val="006636FE"/>
    <w:rsid w:val="00663DF4"/>
    <w:rsid w:val="0066438E"/>
    <w:rsid w:val="006652F5"/>
    <w:rsid w:val="006674DC"/>
    <w:rsid w:val="00675B81"/>
    <w:rsid w:val="00677D7F"/>
    <w:rsid w:val="00677E75"/>
    <w:rsid w:val="00681486"/>
    <w:rsid w:val="006828B8"/>
    <w:rsid w:val="00683793"/>
    <w:rsid w:val="00683E2D"/>
    <w:rsid w:val="006902A0"/>
    <w:rsid w:val="006919CD"/>
    <w:rsid w:val="006A132B"/>
    <w:rsid w:val="006A509B"/>
    <w:rsid w:val="006A600F"/>
    <w:rsid w:val="006A6984"/>
    <w:rsid w:val="006A6FB3"/>
    <w:rsid w:val="006B0D40"/>
    <w:rsid w:val="006B329B"/>
    <w:rsid w:val="006B5382"/>
    <w:rsid w:val="006B5C2A"/>
    <w:rsid w:val="006B6448"/>
    <w:rsid w:val="006B749A"/>
    <w:rsid w:val="006B7A67"/>
    <w:rsid w:val="006B7C96"/>
    <w:rsid w:val="006C3140"/>
    <w:rsid w:val="006C3928"/>
    <w:rsid w:val="006C728C"/>
    <w:rsid w:val="006D1545"/>
    <w:rsid w:val="006D55A9"/>
    <w:rsid w:val="006E384B"/>
    <w:rsid w:val="006E4A07"/>
    <w:rsid w:val="006E4C14"/>
    <w:rsid w:val="006E56D8"/>
    <w:rsid w:val="006E7BBF"/>
    <w:rsid w:val="006F2835"/>
    <w:rsid w:val="006F37B1"/>
    <w:rsid w:val="006F4D62"/>
    <w:rsid w:val="006F563D"/>
    <w:rsid w:val="006F63E9"/>
    <w:rsid w:val="0070397E"/>
    <w:rsid w:val="00703A53"/>
    <w:rsid w:val="00704465"/>
    <w:rsid w:val="00704CA7"/>
    <w:rsid w:val="007059F5"/>
    <w:rsid w:val="00706126"/>
    <w:rsid w:val="00706181"/>
    <w:rsid w:val="007114E5"/>
    <w:rsid w:val="007127B0"/>
    <w:rsid w:val="00712C7F"/>
    <w:rsid w:val="00713A35"/>
    <w:rsid w:val="007140DF"/>
    <w:rsid w:val="00714D65"/>
    <w:rsid w:val="007173D0"/>
    <w:rsid w:val="00717CAD"/>
    <w:rsid w:val="00720AD6"/>
    <w:rsid w:val="0072124F"/>
    <w:rsid w:val="00725B8F"/>
    <w:rsid w:val="00725BF8"/>
    <w:rsid w:val="0072737B"/>
    <w:rsid w:val="00733F45"/>
    <w:rsid w:val="00734914"/>
    <w:rsid w:val="00735A87"/>
    <w:rsid w:val="00741F1E"/>
    <w:rsid w:val="007459E3"/>
    <w:rsid w:val="007549D5"/>
    <w:rsid w:val="007566E5"/>
    <w:rsid w:val="007577EE"/>
    <w:rsid w:val="007579B7"/>
    <w:rsid w:val="00757FC7"/>
    <w:rsid w:val="00762252"/>
    <w:rsid w:val="00763E71"/>
    <w:rsid w:val="007709E4"/>
    <w:rsid w:val="0077188C"/>
    <w:rsid w:val="00773762"/>
    <w:rsid w:val="00773AB9"/>
    <w:rsid w:val="00774D44"/>
    <w:rsid w:val="00775F8E"/>
    <w:rsid w:val="00780E50"/>
    <w:rsid w:val="007820FF"/>
    <w:rsid w:val="00785192"/>
    <w:rsid w:val="0079265F"/>
    <w:rsid w:val="00793F27"/>
    <w:rsid w:val="00794FEF"/>
    <w:rsid w:val="00795846"/>
    <w:rsid w:val="00795A00"/>
    <w:rsid w:val="007970EB"/>
    <w:rsid w:val="007977E9"/>
    <w:rsid w:val="00797BF8"/>
    <w:rsid w:val="007A158C"/>
    <w:rsid w:val="007A1D8C"/>
    <w:rsid w:val="007A2D70"/>
    <w:rsid w:val="007A5DDE"/>
    <w:rsid w:val="007A6441"/>
    <w:rsid w:val="007A6B3E"/>
    <w:rsid w:val="007A6F6E"/>
    <w:rsid w:val="007B3A1F"/>
    <w:rsid w:val="007B4A7A"/>
    <w:rsid w:val="007B4D0D"/>
    <w:rsid w:val="007B56DA"/>
    <w:rsid w:val="007B7CDA"/>
    <w:rsid w:val="007C280B"/>
    <w:rsid w:val="007C39E1"/>
    <w:rsid w:val="007C418C"/>
    <w:rsid w:val="007C5B50"/>
    <w:rsid w:val="007C648A"/>
    <w:rsid w:val="007C68CF"/>
    <w:rsid w:val="007C6DAB"/>
    <w:rsid w:val="007C75D1"/>
    <w:rsid w:val="007D26C3"/>
    <w:rsid w:val="007D2874"/>
    <w:rsid w:val="007D341B"/>
    <w:rsid w:val="007D46FB"/>
    <w:rsid w:val="007D4760"/>
    <w:rsid w:val="007D5C49"/>
    <w:rsid w:val="007D698D"/>
    <w:rsid w:val="007D6D3E"/>
    <w:rsid w:val="007E09D8"/>
    <w:rsid w:val="007E0D01"/>
    <w:rsid w:val="007E15AA"/>
    <w:rsid w:val="007E353C"/>
    <w:rsid w:val="007E68DF"/>
    <w:rsid w:val="007E7DC9"/>
    <w:rsid w:val="007F2A6E"/>
    <w:rsid w:val="007F5384"/>
    <w:rsid w:val="007F7C89"/>
    <w:rsid w:val="007F7D61"/>
    <w:rsid w:val="0080171D"/>
    <w:rsid w:val="00804326"/>
    <w:rsid w:val="00804B91"/>
    <w:rsid w:val="008071EA"/>
    <w:rsid w:val="00807B14"/>
    <w:rsid w:val="00807D88"/>
    <w:rsid w:val="008169F3"/>
    <w:rsid w:val="0082056E"/>
    <w:rsid w:val="00826409"/>
    <w:rsid w:val="0082655C"/>
    <w:rsid w:val="0083041B"/>
    <w:rsid w:val="00830745"/>
    <w:rsid w:val="00832058"/>
    <w:rsid w:val="0083482A"/>
    <w:rsid w:val="008354D5"/>
    <w:rsid w:val="00835B61"/>
    <w:rsid w:val="00835D56"/>
    <w:rsid w:val="00841092"/>
    <w:rsid w:val="00844B9D"/>
    <w:rsid w:val="008518BB"/>
    <w:rsid w:val="008547AD"/>
    <w:rsid w:val="0085532A"/>
    <w:rsid w:val="00856B35"/>
    <w:rsid w:val="00857BD9"/>
    <w:rsid w:val="00863E3D"/>
    <w:rsid w:val="00863E94"/>
    <w:rsid w:val="00866D30"/>
    <w:rsid w:val="00866E57"/>
    <w:rsid w:val="00870D93"/>
    <w:rsid w:val="008715BF"/>
    <w:rsid w:val="00872A3D"/>
    <w:rsid w:val="008734A5"/>
    <w:rsid w:val="00873712"/>
    <w:rsid w:val="00874A75"/>
    <w:rsid w:val="008757EB"/>
    <w:rsid w:val="00876C4D"/>
    <w:rsid w:val="00880C34"/>
    <w:rsid w:val="00881C2B"/>
    <w:rsid w:val="00883021"/>
    <w:rsid w:val="008841FB"/>
    <w:rsid w:val="0088675E"/>
    <w:rsid w:val="00890828"/>
    <w:rsid w:val="00892836"/>
    <w:rsid w:val="008946DD"/>
    <w:rsid w:val="008953A0"/>
    <w:rsid w:val="008A6076"/>
    <w:rsid w:val="008B0F17"/>
    <w:rsid w:val="008B429B"/>
    <w:rsid w:val="008B6394"/>
    <w:rsid w:val="008B74C9"/>
    <w:rsid w:val="008C1652"/>
    <w:rsid w:val="008C2884"/>
    <w:rsid w:val="008C3451"/>
    <w:rsid w:val="008C42FE"/>
    <w:rsid w:val="008C4A74"/>
    <w:rsid w:val="008C7BF9"/>
    <w:rsid w:val="008D0D0B"/>
    <w:rsid w:val="008D0DBE"/>
    <w:rsid w:val="008D0EDE"/>
    <w:rsid w:val="008D117A"/>
    <w:rsid w:val="008D1F20"/>
    <w:rsid w:val="008D58E8"/>
    <w:rsid w:val="008D605B"/>
    <w:rsid w:val="008D61D1"/>
    <w:rsid w:val="008D65C8"/>
    <w:rsid w:val="008D728D"/>
    <w:rsid w:val="008E102D"/>
    <w:rsid w:val="008E3BE9"/>
    <w:rsid w:val="008E7033"/>
    <w:rsid w:val="008F030B"/>
    <w:rsid w:val="008F2765"/>
    <w:rsid w:val="008F3A07"/>
    <w:rsid w:val="008F3DA7"/>
    <w:rsid w:val="008F3DB5"/>
    <w:rsid w:val="00902961"/>
    <w:rsid w:val="00904904"/>
    <w:rsid w:val="00905326"/>
    <w:rsid w:val="00905DDF"/>
    <w:rsid w:val="009079AD"/>
    <w:rsid w:val="00910366"/>
    <w:rsid w:val="0091391D"/>
    <w:rsid w:val="00913C02"/>
    <w:rsid w:val="009161FA"/>
    <w:rsid w:val="009208AF"/>
    <w:rsid w:val="00920D59"/>
    <w:rsid w:val="00921625"/>
    <w:rsid w:val="009235CF"/>
    <w:rsid w:val="009241A2"/>
    <w:rsid w:val="0092515B"/>
    <w:rsid w:val="009304A9"/>
    <w:rsid w:val="00930C94"/>
    <w:rsid w:val="0093315E"/>
    <w:rsid w:val="00933834"/>
    <w:rsid w:val="00936DF7"/>
    <w:rsid w:val="009377B0"/>
    <w:rsid w:val="009434A1"/>
    <w:rsid w:val="00944BCF"/>
    <w:rsid w:val="00946609"/>
    <w:rsid w:val="00946F72"/>
    <w:rsid w:val="00950DB4"/>
    <w:rsid w:val="00952514"/>
    <w:rsid w:val="00954008"/>
    <w:rsid w:val="00954DF2"/>
    <w:rsid w:val="009604CC"/>
    <w:rsid w:val="00960F67"/>
    <w:rsid w:val="00961D7B"/>
    <w:rsid w:val="00962126"/>
    <w:rsid w:val="00964F8F"/>
    <w:rsid w:val="00965FBB"/>
    <w:rsid w:val="0096771D"/>
    <w:rsid w:val="00970197"/>
    <w:rsid w:val="00971BBE"/>
    <w:rsid w:val="00972EC9"/>
    <w:rsid w:val="009758AA"/>
    <w:rsid w:val="009810D1"/>
    <w:rsid w:val="0098525F"/>
    <w:rsid w:val="00985DCA"/>
    <w:rsid w:val="00986F63"/>
    <w:rsid w:val="00987FB3"/>
    <w:rsid w:val="00990279"/>
    <w:rsid w:val="00990723"/>
    <w:rsid w:val="00992D84"/>
    <w:rsid w:val="00993547"/>
    <w:rsid w:val="0099385E"/>
    <w:rsid w:val="009943DE"/>
    <w:rsid w:val="00996EA9"/>
    <w:rsid w:val="00997A94"/>
    <w:rsid w:val="009A2E82"/>
    <w:rsid w:val="009A4EBB"/>
    <w:rsid w:val="009A5697"/>
    <w:rsid w:val="009A588F"/>
    <w:rsid w:val="009B1357"/>
    <w:rsid w:val="009B2D56"/>
    <w:rsid w:val="009B6188"/>
    <w:rsid w:val="009B6356"/>
    <w:rsid w:val="009B7775"/>
    <w:rsid w:val="009C0FD4"/>
    <w:rsid w:val="009C3D5B"/>
    <w:rsid w:val="009C640B"/>
    <w:rsid w:val="009D377D"/>
    <w:rsid w:val="009D3944"/>
    <w:rsid w:val="009D3957"/>
    <w:rsid w:val="009D3D0D"/>
    <w:rsid w:val="009D3E8B"/>
    <w:rsid w:val="009D4057"/>
    <w:rsid w:val="009D47A3"/>
    <w:rsid w:val="009D5848"/>
    <w:rsid w:val="009D6895"/>
    <w:rsid w:val="009D6A39"/>
    <w:rsid w:val="009E03D6"/>
    <w:rsid w:val="009E0812"/>
    <w:rsid w:val="009E1668"/>
    <w:rsid w:val="009E20CA"/>
    <w:rsid w:val="009F0F34"/>
    <w:rsid w:val="009F2AB3"/>
    <w:rsid w:val="009F36F7"/>
    <w:rsid w:val="009F4853"/>
    <w:rsid w:val="009F496B"/>
    <w:rsid w:val="00A01F61"/>
    <w:rsid w:val="00A0288C"/>
    <w:rsid w:val="00A05277"/>
    <w:rsid w:val="00A0722E"/>
    <w:rsid w:val="00A12E80"/>
    <w:rsid w:val="00A15BB5"/>
    <w:rsid w:val="00A16492"/>
    <w:rsid w:val="00A17DD8"/>
    <w:rsid w:val="00A20364"/>
    <w:rsid w:val="00A25FC0"/>
    <w:rsid w:val="00A27F5C"/>
    <w:rsid w:val="00A314D3"/>
    <w:rsid w:val="00A3168B"/>
    <w:rsid w:val="00A339F7"/>
    <w:rsid w:val="00A33D09"/>
    <w:rsid w:val="00A3510D"/>
    <w:rsid w:val="00A35959"/>
    <w:rsid w:val="00A36056"/>
    <w:rsid w:val="00A36138"/>
    <w:rsid w:val="00A372BB"/>
    <w:rsid w:val="00A417AF"/>
    <w:rsid w:val="00A42566"/>
    <w:rsid w:val="00A42DB0"/>
    <w:rsid w:val="00A44256"/>
    <w:rsid w:val="00A5350B"/>
    <w:rsid w:val="00A55B2F"/>
    <w:rsid w:val="00A57D74"/>
    <w:rsid w:val="00A60CC1"/>
    <w:rsid w:val="00A618B6"/>
    <w:rsid w:val="00A62D1C"/>
    <w:rsid w:val="00A630E1"/>
    <w:rsid w:val="00A6387E"/>
    <w:rsid w:val="00A72113"/>
    <w:rsid w:val="00A750FD"/>
    <w:rsid w:val="00A802C5"/>
    <w:rsid w:val="00A81914"/>
    <w:rsid w:val="00A81E31"/>
    <w:rsid w:val="00A85A00"/>
    <w:rsid w:val="00A85CC8"/>
    <w:rsid w:val="00A87122"/>
    <w:rsid w:val="00A87DFE"/>
    <w:rsid w:val="00A87F8C"/>
    <w:rsid w:val="00A9233A"/>
    <w:rsid w:val="00A9377D"/>
    <w:rsid w:val="00A94189"/>
    <w:rsid w:val="00A95869"/>
    <w:rsid w:val="00AA02A8"/>
    <w:rsid w:val="00AA2420"/>
    <w:rsid w:val="00AA4B7C"/>
    <w:rsid w:val="00AB0775"/>
    <w:rsid w:val="00AB0B6C"/>
    <w:rsid w:val="00AB146F"/>
    <w:rsid w:val="00AB1ADE"/>
    <w:rsid w:val="00AB32B9"/>
    <w:rsid w:val="00AB3F32"/>
    <w:rsid w:val="00AB5342"/>
    <w:rsid w:val="00AB5887"/>
    <w:rsid w:val="00AB766C"/>
    <w:rsid w:val="00AC0519"/>
    <w:rsid w:val="00AC38EC"/>
    <w:rsid w:val="00AC40B0"/>
    <w:rsid w:val="00AC5AC2"/>
    <w:rsid w:val="00AC7156"/>
    <w:rsid w:val="00AC7D57"/>
    <w:rsid w:val="00AD005C"/>
    <w:rsid w:val="00AD1064"/>
    <w:rsid w:val="00AD15C4"/>
    <w:rsid w:val="00AD5C24"/>
    <w:rsid w:val="00AE0DD9"/>
    <w:rsid w:val="00AE243F"/>
    <w:rsid w:val="00AE2480"/>
    <w:rsid w:val="00AE4E8C"/>
    <w:rsid w:val="00AE65DA"/>
    <w:rsid w:val="00AE6CEC"/>
    <w:rsid w:val="00AE72D2"/>
    <w:rsid w:val="00AF0595"/>
    <w:rsid w:val="00AF15C6"/>
    <w:rsid w:val="00AF20ED"/>
    <w:rsid w:val="00AF44F9"/>
    <w:rsid w:val="00AF4E22"/>
    <w:rsid w:val="00AF7174"/>
    <w:rsid w:val="00B00CB1"/>
    <w:rsid w:val="00B0177E"/>
    <w:rsid w:val="00B01DEB"/>
    <w:rsid w:val="00B055B4"/>
    <w:rsid w:val="00B05969"/>
    <w:rsid w:val="00B10187"/>
    <w:rsid w:val="00B10D70"/>
    <w:rsid w:val="00B12C1B"/>
    <w:rsid w:val="00B1371F"/>
    <w:rsid w:val="00B14428"/>
    <w:rsid w:val="00B148D6"/>
    <w:rsid w:val="00B16765"/>
    <w:rsid w:val="00B17105"/>
    <w:rsid w:val="00B21859"/>
    <w:rsid w:val="00B21D92"/>
    <w:rsid w:val="00B21DB7"/>
    <w:rsid w:val="00B223AA"/>
    <w:rsid w:val="00B228B3"/>
    <w:rsid w:val="00B23442"/>
    <w:rsid w:val="00B24254"/>
    <w:rsid w:val="00B267FE"/>
    <w:rsid w:val="00B2727F"/>
    <w:rsid w:val="00B3066E"/>
    <w:rsid w:val="00B347D9"/>
    <w:rsid w:val="00B34B32"/>
    <w:rsid w:val="00B4090F"/>
    <w:rsid w:val="00B443AF"/>
    <w:rsid w:val="00B47863"/>
    <w:rsid w:val="00B4786D"/>
    <w:rsid w:val="00B52858"/>
    <w:rsid w:val="00B52A90"/>
    <w:rsid w:val="00B52F35"/>
    <w:rsid w:val="00B612A8"/>
    <w:rsid w:val="00B636E0"/>
    <w:rsid w:val="00B65BEC"/>
    <w:rsid w:val="00B66C9F"/>
    <w:rsid w:val="00B71DAA"/>
    <w:rsid w:val="00B71FB0"/>
    <w:rsid w:val="00B74461"/>
    <w:rsid w:val="00B74E88"/>
    <w:rsid w:val="00B757D2"/>
    <w:rsid w:val="00B76C50"/>
    <w:rsid w:val="00B77829"/>
    <w:rsid w:val="00B8177D"/>
    <w:rsid w:val="00B83032"/>
    <w:rsid w:val="00B87228"/>
    <w:rsid w:val="00B87B9A"/>
    <w:rsid w:val="00B9065D"/>
    <w:rsid w:val="00B91529"/>
    <w:rsid w:val="00B91BE9"/>
    <w:rsid w:val="00B93CCB"/>
    <w:rsid w:val="00B95212"/>
    <w:rsid w:val="00B95C1E"/>
    <w:rsid w:val="00BA0B30"/>
    <w:rsid w:val="00BA13CF"/>
    <w:rsid w:val="00BA25B5"/>
    <w:rsid w:val="00BA41C7"/>
    <w:rsid w:val="00BB0403"/>
    <w:rsid w:val="00BB0BAA"/>
    <w:rsid w:val="00BB2145"/>
    <w:rsid w:val="00BB4AC0"/>
    <w:rsid w:val="00BB6F6E"/>
    <w:rsid w:val="00BC0A07"/>
    <w:rsid w:val="00BC3237"/>
    <w:rsid w:val="00BC3871"/>
    <w:rsid w:val="00BC4C0E"/>
    <w:rsid w:val="00BC6052"/>
    <w:rsid w:val="00BC6078"/>
    <w:rsid w:val="00BD4859"/>
    <w:rsid w:val="00BD57AF"/>
    <w:rsid w:val="00BD590C"/>
    <w:rsid w:val="00BD70D9"/>
    <w:rsid w:val="00BE0EA6"/>
    <w:rsid w:val="00BE100F"/>
    <w:rsid w:val="00BE27EE"/>
    <w:rsid w:val="00BE5A95"/>
    <w:rsid w:val="00BE6A9E"/>
    <w:rsid w:val="00BF273D"/>
    <w:rsid w:val="00BF5D82"/>
    <w:rsid w:val="00BF6231"/>
    <w:rsid w:val="00BF7A0B"/>
    <w:rsid w:val="00C02073"/>
    <w:rsid w:val="00C0384A"/>
    <w:rsid w:val="00C0493A"/>
    <w:rsid w:val="00C05B21"/>
    <w:rsid w:val="00C06709"/>
    <w:rsid w:val="00C116B4"/>
    <w:rsid w:val="00C11760"/>
    <w:rsid w:val="00C11FD9"/>
    <w:rsid w:val="00C12E42"/>
    <w:rsid w:val="00C152B8"/>
    <w:rsid w:val="00C152DB"/>
    <w:rsid w:val="00C20310"/>
    <w:rsid w:val="00C2531C"/>
    <w:rsid w:val="00C26397"/>
    <w:rsid w:val="00C26FF4"/>
    <w:rsid w:val="00C27028"/>
    <w:rsid w:val="00C309CB"/>
    <w:rsid w:val="00C312C0"/>
    <w:rsid w:val="00C3130E"/>
    <w:rsid w:val="00C32C50"/>
    <w:rsid w:val="00C331E9"/>
    <w:rsid w:val="00C33E37"/>
    <w:rsid w:val="00C3657C"/>
    <w:rsid w:val="00C36CB2"/>
    <w:rsid w:val="00C41C5F"/>
    <w:rsid w:val="00C41C86"/>
    <w:rsid w:val="00C41DB6"/>
    <w:rsid w:val="00C42BF2"/>
    <w:rsid w:val="00C43A13"/>
    <w:rsid w:val="00C50200"/>
    <w:rsid w:val="00C5195E"/>
    <w:rsid w:val="00C54549"/>
    <w:rsid w:val="00C552A9"/>
    <w:rsid w:val="00C612E7"/>
    <w:rsid w:val="00C66925"/>
    <w:rsid w:val="00C71C69"/>
    <w:rsid w:val="00C743F1"/>
    <w:rsid w:val="00C75368"/>
    <w:rsid w:val="00C76720"/>
    <w:rsid w:val="00C77499"/>
    <w:rsid w:val="00C80451"/>
    <w:rsid w:val="00C82A3E"/>
    <w:rsid w:val="00C83C50"/>
    <w:rsid w:val="00C862B7"/>
    <w:rsid w:val="00C87547"/>
    <w:rsid w:val="00C87851"/>
    <w:rsid w:val="00C91A3C"/>
    <w:rsid w:val="00C924FB"/>
    <w:rsid w:val="00C93730"/>
    <w:rsid w:val="00C945A1"/>
    <w:rsid w:val="00C94C19"/>
    <w:rsid w:val="00C94D64"/>
    <w:rsid w:val="00C94DE3"/>
    <w:rsid w:val="00C95D39"/>
    <w:rsid w:val="00C95F89"/>
    <w:rsid w:val="00C97AEE"/>
    <w:rsid w:val="00CA00CF"/>
    <w:rsid w:val="00CA1BF3"/>
    <w:rsid w:val="00CA5AEC"/>
    <w:rsid w:val="00CA5BF3"/>
    <w:rsid w:val="00CB124A"/>
    <w:rsid w:val="00CB18ED"/>
    <w:rsid w:val="00CB1CA3"/>
    <w:rsid w:val="00CB2372"/>
    <w:rsid w:val="00CB272B"/>
    <w:rsid w:val="00CB4171"/>
    <w:rsid w:val="00CB4ADF"/>
    <w:rsid w:val="00CB5C1B"/>
    <w:rsid w:val="00CB70DB"/>
    <w:rsid w:val="00CC3B78"/>
    <w:rsid w:val="00CC434A"/>
    <w:rsid w:val="00CC5C61"/>
    <w:rsid w:val="00CC5F06"/>
    <w:rsid w:val="00CD0450"/>
    <w:rsid w:val="00CD0701"/>
    <w:rsid w:val="00CD7F60"/>
    <w:rsid w:val="00CE30B1"/>
    <w:rsid w:val="00CE427E"/>
    <w:rsid w:val="00CE58BA"/>
    <w:rsid w:val="00CE6163"/>
    <w:rsid w:val="00CE77D3"/>
    <w:rsid w:val="00CE7B44"/>
    <w:rsid w:val="00CF0E35"/>
    <w:rsid w:val="00CF539E"/>
    <w:rsid w:val="00CF5EB9"/>
    <w:rsid w:val="00CF7024"/>
    <w:rsid w:val="00CF7DBF"/>
    <w:rsid w:val="00D0000B"/>
    <w:rsid w:val="00D01F13"/>
    <w:rsid w:val="00D02246"/>
    <w:rsid w:val="00D02885"/>
    <w:rsid w:val="00D04A78"/>
    <w:rsid w:val="00D04F53"/>
    <w:rsid w:val="00D05790"/>
    <w:rsid w:val="00D07AB1"/>
    <w:rsid w:val="00D10547"/>
    <w:rsid w:val="00D1252B"/>
    <w:rsid w:val="00D136D9"/>
    <w:rsid w:val="00D14E55"/>
    <w:rsid w:val="00D20B5E"/>
    <w:rsid w:val="00D21A87"/>
    <w:rsid w:val="00D21F21"/>
    <w:rsid w:val="00D239BD"/>
    <w:rsid w:val="00D258E3"/>
    <w:rsid w:val="00D27A55"/>
    <w:rsid w:val="00D366D3"/>
    <w:rsid w:val="00D401C9"/>
    <w:rsid w:val="00D42660"/>
    <w:rsid w:val="00D4394F"/>
    <w:rsid w:val="00D45CE2"/>
    <w:rsid w:val="00D46A57"/>
    <w:rsid w:val="00D46E03"/>
    <w:rsid w:val="00D5067F"/>
    <w:rsid w:val="00D5323D"/>
    <w:rsid w:val="00D5391A"/>
    <w:rsid w:val="00D55926"/>
    <w:rsid w:val="00D5668E"/>
    <w:rsid w:val="00D56B9E"/>
    <w:rsid w:val="00D56EBA"/>
    <w:rsid w:val="00D5781D"/>
    <w:rsid w:val="00D578DA"/>
    <w:rsid w:val="00D60ED3"/>
    <w:rsid w:val="00D64D51"/>
    <w:rsid w:val="00D65818"/>
    <w:rsid w:val="00D70F82"/>
    <w:rsid w:val="00D722D3"/>
    <w:rsid w:val="00D72EF7"/>
    <w:rsid w:val="00D746E1"/>
    <w:rsid w:val="00D75754"/>
    <w:rsid w:val="00D76789"/>
    <w:rsid w:val="00D813EC"/>
    <w:rsid w:val="00D82B10"/>
    <w:rsid w:val="00D864E2"/>
    <w:rsid w:val="00D902DB"/>
    <w:rsid w:val="00D910D0"/>
    <w:rsid w:val="00D94AD9"/>
    <w:rsid w:val="00D94F40"/>
    <w:rsid w:val="00DA09D0"/>
    <w:rsid w:val="00DA0AB0"/>
    <w:rsid w:val="00DA0DEB"/>
    <w:rsid w:val="00DA4257"/>
    <w:rsid w:val="00DA4795"/>
    <w:rsid w:val="00DA483E"/>
    <w:rsid w:val="00DB1343"/>
    <w:rsid w:val="00DB544A"/>
    <w:rsid w:val="00DB61BD"/>
    <w:rsid w:val="00DB64C8"/>
    <w:rsid w:val="00DC11EA"/>
    <w:rsid w:val="00DC363E"/>
    <w:rsid w:val="00DC3C68"/>
    <w:rsid w:val="00DC470C"/>
    <w:rsid w:val="00DC5245"/>
    <w:rsid w:val="00DC618F"/>
    <w:rsid w:val="00DC6AB9"/>
    <w:rsid w:val="00DC704E"/>
    <w:rsid w:val="00DD30C9"/>
    <w:rsid w:val="00DE0CC4"/>
    <w:rsid w:val="00DE10B7"/>
    <w:rsid w:val="00DE1218"/>
    <w:rsid w:val="00DE26DC"/>
    <w:rsid w:val="00DE4B13"/>
    <w:rsid w:val="00DE4F09"/>
    <w:rsid w:val="00DF1EAB"/>
    <w:rsid w:val="00DF516B"/>
    <w:rsid w:val="00DF70C9"/>
    <w:rsid w:val="00E001B5"/>
    <w:rsid w:val="00E0573B"/>
    <w:rsid w:val="00E06E2E"/>
    <w:rsid w:val="00E116A2"/>
    <w:rsid w:val="00E13E19"/>
    <w:rsid w:val="00E140ED"/>
    <w:rsid w:val="00E170D5"/>
    <w:rsid w:val="00E2371A"/>
    <w:rsid w:val="00E24596"/>
    <w:rsid w:val="00E24ED7"/>
    <w:rsid w:val="00E269CD"/>
    <w:rsid w:val="00E328E5"/>
    <w:rsid w:val="00E32E85"/>
    <w:rsid w:val="00E32EAB"/>
    <w:rsid w:val="00E340AC"/>
    <w:rsid w:val="00E34D71"/>
    <w:rsid w:val="00E37CD7"/>
    <w:rsid w:val="00E454EA"/>
    <w:rsid w:val="00E511A3"/>
    <w:rsid w:val="00E525EE"/>
    <w:rsid w:val="00E543CE"/>
    <w:rsid w:val="00E54698"/>
    <w:rsid w:val="00E54DA7"/>
    <w:rsid w:val="00E550EF"/>
    <w:rsid w:val="00E565CC"/>
    <w:rsid w:val="00E57AB6"/>
    <w:rsid w:val="00E616B4"/>
    <w:rsid w:val="00E63654"/>
    <w:rsid w:val="00E646D3"/>
    <w:rsid w:val="00E65589"/>
    <w:rsid w:val="00E70102"/>
    <w:rsid w:val="00E70699"/>
    <w:rsid w:val="00E724EF"/>
    <w:rsid w:val="00E73AC7"/>
    <w:rsid w:val="00E7415D"/>
    <w:rsid w:val="00E74FE5"/>
    <w:rsid w:val="00E81FF9"/>
    <w:rsid w:val="00E84EE9"/>
    <w:rsid w:val="00E85085"/>
    <w:rsid w:val="00E86953"/>
    <w:rsid w:val="00E91882"/>
    <w:rsid w:val="00E921E4"/>
    <w:rsid w:val="00E92326"/>
    <w:rsid w:val="00E9791E"/>
    <w:rsid w:val="00EA133E"/>
    <w:rsid w:val="00EA158B"/>
    <w:rsid w:val="00EA3313"/>
    <w:rsid w:val="00EA36E6"/>
    <w:rsid w:val="00EA413E"/>
    <w:rsid w:val="00EB0315"/>
    <w:rsid w:val="00EB0839"/>
    <w:rsid w:val="00EB406E"/>
    <w:rsid w:val="00EB4FF8"/>
    <w:rsid w:val="00EB5058"/>
    <w:rsid w:val="00EB77F9"/>
    <w:rsid w:val="00EC2ED3"/>
    <w:rsid w:val="00EC45FB"/>
    <w:rsid w:val="00EC47C5"/>
    <w:rsid w:val="00EC4BD1"/>
    <w:rsid w:val="00EC5613"/>
    <w:rsid w:val="00EC57E8"/>
    <w:rsid w:val="00EC59A0"/>
    <w:rsid w:val="00EC5A25"/>
    <w:rsid w:val="00EC71F2"/>
    <w:rsid w:val="00ED121C"/>
    <w:rsid w:val="00ED3682"/>
    <w:rsid w:val="00EE1203"/>
    <w:rsid w:val="00EE2076"/>
    <w:rsid w:val="00EE662E"/>
    <w:rsid w:val="00EF7CEE"/>
    <w:rsid w:val="00F03D09"/>
    <w:rsid w:val="00F0421E"/>
    <w:rsid w:val="00F06ED6"/>
    <w:rsid w:val="00F076DB"/>
    <w:rsid w:val="00F079B9"/>
    <w:rsid w:val="00F12579"/>
    <w:rsid w:val="00F1608C"/>
    <w:rsid w:val="00F16423"/>
    <w:rsid w:val="00F222C1"/>
    <w:rsid w:val="00F264A0"/>
    <w:rsid w:val="00F26A08"/>
    <w:rsid w:val="00F302C0"/>
    <w:rsid w:val="00F31583"/>
    <w:rsid w:val="00F320E8"/>
    <w:rsid w:val="00F339E7"/>
    <w:rsid w:val="00F3592E"/>
    <w:rsid w:val="00F43875"/>
    <w:rsid w:val="00F43F1E"/>
    <w:rsid w:val="00F45DB1"/>
    <w:rsid w:val="00F56214"/>
    <w:rsid w:val="00F56537"/>
    <w:rsid w:val="00F60176"/>
    <w:rsid w:val="00F61BED"/>
    <w:rsid w:val="00F6663E"/>
    <w:rsid w:val="00F7033E"/>
    <w:rsid w:val="00F703A6"/>
    <w:rsid w:val="00F7176A"/>
    <w:rsid w:val="00F73660"/>
    <w:rsid w:val="00F741F5"/>
    <w:rsid w:val="00F77D8A"/>
    <w:rsid w:val="00F815D9"/>
    <w:rsid w:val="00F82D75"/>
    <w:rsid w:val="00F84C12"/>
    <w:rsid w:val="00F85833"/>
    <w:rsid w:val="00F86369"/>
    <w:rsid w:val="00F87349"/>
    <w:rsid w:val="00F90356"/>
    <w:rsid w:val="00F92634"/>
    <w:rsid w:val="00F926E9"/>
    <w:rsid w:val="00F97459"/>
    <w:rsid w:val="00FA021B"/>
    <w:rsid w:val="00FA14F3"/>
    <w:rsid w:val="00FA25F7"/>
    <w:rsid w:val="00FA3747"/>
    <w:rsid w:val="00FA4806"/>
    <w:rsid w:val="00FA560D"/>
    <w:rsid w:val="00FA5ABD"/>
    <w:rsid w:val="00FA790E"/>
    <w:rsid w:val="00FB060D"/>
    <w:rsid w:val="00FB0ED3"/>
    <w:rsid w:val="00FB6A86"/>
    <w:rsid w:val="00FB78A4"/>
    <w:rsid w:val="00FB7DC1"/>
    <w:rsid w:val="00FC025D"/>
    <w:rsid w:val="00FC2527"/>
    <w:rsid w:val="00FC3819"/>
    <w:rsid w:val="00FC5901"/>
    <w:rsid w:val="00FC7C11"/>
    <w:rsid w:val="00FC7EDB"/>
    <w:rsid w:val="00FD04FC"/>
    <w:rsid w:val="00FD0DC2"/>
    <w:rsid w:val="00FD1217"/>
    <w:rsid w:val="00FD14EE"/>
    <w:rsid w:val="00FD412C"/>
    <w:rsid w:val="00FD7F93"/>
    <w:rsid w:val="00FE34D3"/>
    <w:rsid w:val="00FE5DA5"/>
    <w:rsid w:val="00FE7699"/>
    <w:rsid w:val="00FE7B2C"/>
    <w:rsid w:val="00FF38FA"/>
    <w:rsid w:val="00FF5A16"/>
    <w:rsid w:val="00FF610A"/>
    <w:rsid w:val="015005AE"/>
    <w:rsid w:val="01FF7740"/>
    <w:rsid w:val="021D673F"/>
    <w:rsid w:val="02897A4F"/>
    <w:rsid w:val="0405071D"/>
    <w:rsid w:val="04087D46"/>
    <w:rsid w:val="041D2F8C"/>
    <w:rsid w:val="04B17E6C"/>
    <w:rsid w:val="0559183C"/>
    <w:rsid w:val="05AB3C5B"/>
    <w:rsid w:val="05B82808"/>
    <w:rsid w:val="06FD18E0"/>
    <w:rsid w:val="06FD269B"/>
    <w:rsid w:val="08386081"/>
    <w:rsid w:val="083B1878"/>
    <w:rsid w:val="0888113F"/>
    <w:rsid w:val="09B90779"/>
    <w:rsid w:val="09F2400E"/>
    <w:rsid w:val="09FB7398"/>
    <w:rsid w:val="0A126339"/>
    <w:rsid w:val="0AC43BFC"/>
    <w:rsid w:val="0AD31420"/>
    <w:rsid w:val="0AFF173F"/>
    <w:rsid w:val="0B39094D"/>
    <w:rsid w:val="0B945A70"/>
    <w:rsid w:val="0CA041F5"/>
    <w:rsid w:val="0CB664E7"/>
    <w:rsid w:val="0D146960"/>
    <w:rsid w:val="0D337FAB"/>
    <w:rsid w:val="0D5F3E62"/>
    <w:rsid w:val="0D866EB5"/>
    <w:rsid w:val="0DBA6115"/>
    <w:rsid w:val="0DF60822"/>
    <w:rsid w:val="0EA25278"/>
    <w:rsid w:val="0EEC5601"/>
    <w:rsid w:val="0EF5276A"/>
    <w:rsid w:val="0F7E5F8C"/>
    <w:rsid w:val="0FB51792"/>
    <w:rsid w:val="100D4ACB"/>
    <w:rsid w:val="104D573A"/>
    <w:rsid w:val="106D0892"/>
    <w:rsid w:val="108C5F1F"/>
    <w:rsid w:val="10D1760F"/>
    <w:rsid w:val="117E60F2"/>
    <w:rsid w:val="118C679D"/>
    <w:rsid w:val="119B16E0"/>
    <w:rsid w:val="11C51195"/>
    <w:rsid w:val="12144CC9"/>
    <w:rsid w:val="123C1304"/>
    <w:rsid w:val="127E6D86"/>
    <w:rsid w:val="12A842BD"/>
    <w:rsid w:val="12DC6520"/>
    <w:rsid w:val="137666E0"/>
    <w:rsid w:val="13FC6BA2"/>
    <w:rsid w:val="14D651D0"/>
    <w:rsid w:val="14FA4B3D"/>
    <w:rsid w:val="15211C4B"/>
    <w:rsid w:val="16C443A5"/>
    <w:rsid w:val="178612A4"/>
    <w:rsid w:val="17D830C3"/>
    <w:rsid w:val="1814795E"/>
    <w:rsid w:val="18A62FC3"/>
    <w:rsid w:val="192C1B70"/>
    <w:rsid w:val="19BD7FBD"/>
    <w:rsid w:val="19F17EC8"/>
    <w:rsid w:val="1A054A70"/>
    <w:rsid w:val="1B721824"/>
    <w:rsid w:val="1CDB6DF9"/>
    <w:rsid w:val="1E163FDF"/>
    <w:rsid w:val="1E696B3C"/>
    <w:rsid w:val="1E6F1188"/>
    <w:rsid w:val="1F1078F7"/>
    <w:rsid w:val="1F2F4AC3"/>
    <w:rsid w:val="1F6E745D"/>
    <w:rsid w:val="20490B12"/>
    <w:rsid w:val="20635EB8"/>
    <w:rsid w:val="208D1F0B"/>
    <w:rsid w:val="20A35C0A"/>
    <w:rsid w:val="2126105B"/>
    <w:rsid w:val="217358AB"/>
    <w:rsid w:val="21F22872"/>
    <w:rsid w:val="238D636C"/>
    <w:rsid w:val="23F478DB"/>
    <w:rsid w:val="24246E29"/>
    <w:rsid w:val="251C69E4"/>
    <w:rsid w:val="255F2A47"/>
    <w:rsid w:val="258F73AB"/>
    <w:rsid w:val="2612416F"/>
    <w:rsid w:val="264E4BC8"/>
    <w:rsid w:val="266C0B17"/>
    <w:rsid w:val="26857E89"/>
    <w:rsid w:val="26C54C8D"/>
    <w:rsid w:val="27A6670B"/>
    <w:rsid w:val="27E16DD6"/>
    <w:rsid w:val="28163426"/>
    <w:rsid w:val="28970391"/>
    <w:rsid w:val="28B4793F"/>
    <w:rsid w:val="28CA2231"/>
    <w:rsid w:val="28DA1538"/>
    <w:rsid w:val="291C47AB"/>
    <w:rsid w:val="29752063"/>
    <w:rsid w:val="299D08B0"/>
    <w:rsid w:val="29AC22BF"/>
    <w:rsid w:val="2C8754BF"/>
    <w:rsid w:val="2D105256"/>
    <w:rsid w:val="2D3D2445"/>
    <w:rsid w:val="2EB3170E"/>
    <w:rsid w:val="2EE420A9"/>
    <w:rsid w:val="2F3052F3"/>
    <w:rsid w:val="2FD94E95"/>
    <w:rsid w:val="300A0EB4"/>
    <w:rsid w:val="30577BFB"/>
    <w:rsid w:val="324A084C"/>
    <w:rsid w:val="32662A15"/>
    <w:rsid w:val="32DC3916"/>
    <w:rsid w:val="32E07665"/>
    <w:rsid w:val="32E56A98"/>
    <w:rsid w:val="32F53FB6"/>
    <w:rsid w:val="32F5745F"/>
    <w:rsid w:val="33767422"/>
    <w:rsid w:val="34884436"/>
    <w:rsid w:val="34C463DA"/>
    <w:rsid w:val="34FA7A68"/>
    <w:rsid w:val="34FC4DC4"/>
    <w:rsid w:val="357F2219"/>
    <w:rsid w:val="35C82821"/>
    <w:rsid w:val="35CD57AB"/>
    <w:rsid w:val="361F5075"/>
    <w:rsid w:val="36B20052"/>
    <w:rsid w:val="36CF0DD6"/>
    <w:rsid w:val="3729447F"/>
    <w:rsid w:val="38626F0E"/>
    <w:rsid w:val="3882282B"/>
    <w:rsid w:val="389600D6"/>
    <w:rsid w:val="3A0468BC"/>
    <w:rsid w:val="3B2E0CDD"/>
    <w:rsid w:val="3BC26545"/>
    <w:rsid w:val="3C1001A0"/>
    <w:rsid w:val="3C4B37FD"/>
    <w:rsid w:val="3CBB4430"/>
    <w:rsid w:val="3D747E3A"/>
    <w:rsid w:val="3E5157CB"/>
    <w:rsid w:val="3E707B90"/>
    <w:rsid w:val="3F03228C"/>
    <w:rsid w:val="3F3A6198"/>
    <w:rsid w:val="411C3143"/>
    <w:rsid w:val="41362F5F"/>
    <w:rsid w:val="41636A5D"/>
    <w:rsid w:val="417D1EF3"/>
    <w:rsid w:val="41EC6BC7"/>
    <w:rsid w:val="4203064F"/>
    <w:rsid w:val="42450282"/>
    <w:rsid w:val="424D0601"/>
    <w:rsid w:val="439569BD"/>
    <w:rsid w:val="45422E86"/>
    <w:rsid w:val="46061804"/>
    <w:rsid w:val="46496788"/>
    <w:rsid w:val="46D14134"/>
    <w:rsid w:val="473F2011"/>
    <w:rsid w:val="47C73D9A"/>
    <w:rsid w:val="47E30E5E"/>
    <w:rsid w:val="48054938"/>
    <w:rsid w:val="48A902D7"/>
    <w:rsid w:val="4900576B"/>
    <w:rsid w:val="49EF5500"/>
    <w:rsid w:val="4A0B01F8"/>
    <w:rsid w:val="4A3F28D9"/>
    <w:rsid w:val="4A6F5769"/>
    <w:rsid w:val="4A8C2F84"/>
    <w:rsid w:val="4B56684F"/>
    <w:rsid w:val="4BA529D4"/>
    <w:rsid w:val="4C2D08FA"/>
    <w:rsid w:val="4C9A7386"/>
    <w:rsid w:val="4CEB7C50"/>
    <w:rsid w:val="4D493511"/>
    <w:rsid w:val="4DCF1BF1"/>
    <w:rsid w:val="4E872543"/>
    <w:rsid w:val="4EAD32F8"/>
    <w:rsid w:val="4EC015B1"/>
    <w:rsid w:val="4FC11730"/>
    <w:rsid w:val="52D95337"/>
    <w:rsid w:val="53585BB2"/>
    <w:rsid w:val="536D0645"/>
    <w:rsid w:val="545D36E5"/>
    <w:rsid w:val="54BB7ADD"/>
    <w:rsid w:val="550C09A9"/>
    <w:rsid w:val="558B0B35"/>
    <w:rsid w:val="55D41DE6"/>
    <w:rsid w:val="55E541CB"/>
    <w:rsid w:val="56707D61"/>
    <w:rsid w:val="56CC08DA"/>
    <w:rsid w:val="57C83D03"/>
    <w:rsid w:val="58072B4D"/>
    <w:rsid w:val="5926629D"/>
    <w:rsid w:val="594828CF"/>
    <w:rsid w:val="59AF5DB3"/>
    <w:rsid w:val="5AA96E1A"/>
    <w:rsid w:val="5B433936"/>
    <w:rsid w:val="5E2D6B32"/>
    <w:rsid w:val="5EAF74CC"/>
    <w:rsid w:val="5EC25C8E"/>
    <w:rsid w:val="5ED66EB0"/>
    <w:rsid w:val="5F3F4774"/>
    <w:rsid w:val="5FAF18FA"/>
    <w:rsid w:val="608416F8"/>
    <w:rsid w:val="61DD7A55"/>
    <w:rsid w:val="61E63235"/>
    <w:rsid w:val="62077B00"/>
    <w:rsid w:val="62EB7375"/>
    <w:rsid w:val="62EC39A0"/>
    <w:rsid w:val="63186930"/>
    <w:rsid w:val="633D6FBD"/>
    <w:rsid w:val="646254B8"/>
    <w:rsid w:val="647B15D4"/>
    <w:rsid w:val="65640222"/>
    <w:rsid w:val="65680AED"/>
    <w:rsid w:val="656C5987"/>
    <w:rsid w:val="659137BE"/>
    <w:rsid w:val="664F2136"/>
    <w:rsid w:val="666278F4"/>
    <w:rsid w:val="666B12E3"/>
    <w:rsid w:val="667E2082"/>
    <w:rsid w:val="671615F9"/>
    <w:rsid w:val="67551E8A"/>
    <w:rsid w:val="67A01A11"/>
    <w:rsid w:val="67A904D5"/>
    <w:rsid w:val="67D30150"/>
    <w:rsid w:val="67E348DA"/>
    <w:rsid w:val="68E47DC4"/>
    <w:rsid w:val="692B2B24"/>
    <w:rsid w:val="696F20FA"/>
    <w:rsid w:val="69AF1A85"/>
    <w:rsid w:val="69B5253D"/>
    <w:rsid w:val="6AD246EE"/>
    <w:rsid w:val="6AEF4D6B"/>
    <w:rsid w:val="6B3C7DBA"/>
    <w:rsid w:val="6C424259"/>
    <w:rsid w:val="6C7452B0"/>
    <w:rsid w:val="6CC72A1E"/>
    <w:rsid w:val="6DE71343"/>
    <w:rsid w:val="6E140AEA"/>
    <w:rsid w:val="6F242755"/>
    <w:rsid w:val="6F6201C9"/>
    <w:rsid w:val="6FF161BB"/>
    <w:rsid w:val="701514FB"/>
    <w:rsid w:val="70356247"/>
    <w:rsid w:val="70A66542"/>
    <w:rsid w:val="713537DC"/>
    <w:rsid w:val="713E2ADE"/>
    <w:rsid w:val="718B0CF1"/>
    <w:rsid w:val="722B4388"/>
    <w:rsid w:val="73B700F7"/>
    <w:rsid w:val="73D22482"/>
    <w:rsid w:val="744F7E40"/>
    <w:rsid w:val="748D0C82"/>
    <w:rsid w:val="754461E9"/>
    <w:rsid w:val="7991126D"/>
    <w:rsid w:val="7A3C6280"/>
    <w:rsid w:val="7B5C2921"/>
    <w:rsid w:val="7BB21980"/>
    <w:rsid w:val="7C3432A8"/>
    <w:rsid w:val="7C426A3A"/>
    <w:rsid w:val="7C9A2F91"/>
    <w:rsid w:val="7DEC71F3"/>
    <w:rsid w:val="7E10135E"/>
    <w:rsid w:val="7E343A8B"/>
    <w:rsid w:val="7E4656AE"/>
    <w:rsid w:val="7EA50110"/>
    <w:rsid w:val="7FBE757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t" stroke="t">
      <v:fill type="gradient" on="t" angle="90" focussize="0f,0f" focusposition="0f,0f">
        <o:fill type="gradientUnscaled" v:ext="backwardCompatible"/>
      </v:fill>
      <v:stroke weight="1.25pt" color="#739CC3"/>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unhideWhenUsed="0" w:uiPriority="0" w:semiHidden="0" w:name="footnote text"/>
    <w:lsdException w:qFormat="1" w:unhideWhenUsed="0" w:uiPriority="0" w:name="annotation text"/>
    <w:lsdException w:qFormat="1" w:unhideWhenUsed="0" w:uiPriority="99" w:semiHidden="0" w:name="header"/>
    <w:lsdException w:qFormat="1" w:unhideWhenUsed="0" w:uiPriority="99" w:semiHidden="0" w:name="footer"/>
    <w:lsdException w:qFormat="1" w:unhideWhenUsed="0" w:uiPriority="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qFormat="1" w:unhideWhenUsed="0" w:uiPriority="0" w:name="toa heading"/>
    <w:lsdException w:qFormat="1" w:unhideWhenUsed="0" w:uiPriority="0" w:semiHidden="0" w:name="List"/>
    <w:lsdException w:qFormat="1" w:unhideWhenUsed="0" w:uiPriority="0" w:semiHidden="0" w:name="List Bullet"/>
    <w:lsdException w:unhideWhenUsed="0" w:uiPriority="0" w:semiHidden="0" w:name="List Number"/>
    <w:lsdException w:qFormat="1"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99"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qFormat="1" w:unhideWhenUsed="0" w:uiPriority="0" w:semiHidden="0" w:name="Body Text First Indent"/>
    <w:lsdException w:unhideWhenUsed="0" w:uiPriority="0" w:semiHidden="0" w:name="Body Text First Indent 2"/>
    <w:lsdException w:unhideWhenUsed="0" w:uiPriority="0" w:semiHidden="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nhideWhenUsed="0" w:uiPriority="99" w:semiHidden="0" w:name="FollowedHyperlink"/>
    <w:lsdException w:qFormat="1" w:unhideWhenUsed="0" w:uiPriority="22" w:semiHidden="0" w:name="Strong"/>
    <w:lsdException w:qFormat="1" w:unhideWhenUsed="0" w:uiPriority="0" w:semiHidden="0" w:name="Emphasis"/>
    <w:lsdException w:qFormat="1" w:unhideWhenUsed="0" w:uiPriority="0" w:name="Document Map"/>
    <w:lsdException w:qFormat="1"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iPriority="99" w:semiHidden="0" w:name="Table Grid"/>
    <w:lsdException w:uiPriority="99" w:name="Table Theme"/>
    <w:lsdException w:qFormat="1" w:unhideWhenUsed="0" w:uiPriority="99"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utoSpaceDE w:val="0"/>
      <w:autoSpaceDN w:val="0"/>
      <w:adjustRightInd w:val="0"/>
    </w:pPr>
    <w:rPr>
      <w:rFonts w:ascii="宋体" w:hAnsi="Times New Roman" w:eastAsia="宋体" w:cs="Times New Roman"/>
      <w:sz w:val="24"/>
      <w:szCs w:val="24"/>
      <w:lang w:val="en-US" w:eastAsia="zh-CN" w:bidi="ar-SA"/>
    </w:rPr>
  </w:style>
  <w:style w:type="paragraph" w:styleId="2">
    <w:name w:val="heading 1"/>
    <w:basedOn w:val="1"/>
    <w:next w:val="1"/>
    <w:autoRedefine/>
    <w:qFormat/>
    <w:uiPriority w:val="0"/>
    <w:pPr>
      <w:outlineLvl w:val="0"/>
    </w:pPr>
  </w:style>
  <w:style w:type="paragraph" w:styleId="3">
    <w:name w:val="heading 2"/>
    <w:basedOn w:val="1"/>
    <w:next w:val="1"/>
    <w:link w:val="57"/>
    <w:autoRedefine/>
    <w:qFormat/>
    <w:uiPriority w:val="0"/>
    <w:pPr>
      <w:outlineLvl w:val="1"/>
    </w:pPr>
  </w:style>
  <w:style w:type="paragraph" w:styleId="4">
    <w:name w:val="heading 3"/>
    <w:basedOn w:val="1"/>
    <w:next w:val="1"/>
    <w:link w:val="58"/>
    <w:qFormat/>
    <w:uiPriority w:val="0"/>
    <w:pPr>
      <w:outlineLvl w:val="2"/>
    </w:pPr>
  </w:style>
  <w:style w:type="paragraph" w:styleId="5">
    <w:name w:val="heading 4"/>
    <w:basedOn w:val="1"/>
    <w:next w:val="1"/>
    <w:autoRedefine/>
    <w:qFormat/>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autoRedefine/>
    <w:qFormat/>
    <w:uiPriority w:val="0"/>
    <w:pPr>
      <w:keepNext/>
      <w:keepLines/>
      <w:widowControl/>
      <w:tabs>
        <w:tab w:val="left" w:pos="1008"/>
      </w:tabs>
      <w:autoSpaceDE/>
      <w:autoSpaceDN/>
      <w:adjustRightInd/>
      <w:spacing w:before="280" w:after="290" w:line="376" w:lineRule="auto"/>
      <w:ind w:left="1008" w:hanging="1008"/>
      <w:outlineLvl w:val="4"/>
    </w:pPr>
    <w:rPr>
      <w:rFonts w:ascii="Times New Roman"/>
      <w:b/>
      <w:bCs/>
      <w:sz w:val="28"/>
      <w:szCs w:val="28"/>
    </w:rPr>
  </w:style>
  <w:style w:type="paragraph" w:styleId="7">
    <w:name w:val="heading 6"/>
    <w:basedOn w:val="1"/>
    <w:next w:val="1"/>
    <w:autoRedefine/>
    <w:qFormat/>
    <w:uiPriority w:val="0"/>
    <w:pPr>
      <w:keepNext/>
      <w:keepLines/>
      <w:widowControl/>
      <w:tabs>
        <w:tab w:val="left" w:pos="1152"/>
      </w:tabs>
      <w:autoSpaceDE/>
      <w:autoSpaceDN/>
      <w:adjustRightInd/>
      <w:spacing w:before="240" w:after="64" w:line="320" w:lineRule="auto"/>
      <w:ind w:left="1152" w:hanging="1152"/>
      <w:outlineLvl w:val="5"/>
    </w:pPr>
    <w:rPr>
      <w:rFonts w:ascii="Arial" w:hAnsi="Arial" w:eastAsia="黑体"/>
      <w:b/>
      <w:bCs/>
    </w:rPr>
  </w:style>
  <w:style w:type="paragraph" w:styleId="8">
    <w:name w:val="heading 7"/>
    <w:basedOn w:val="1"/>
    <w:next w:val="1"/>
    <w:autoRedefine/>
    <w:qFormat/>
    <w:uiPriority w:val="0"/>
    <w:pPr>
      <w:keepNext/>
      <w:keepLines/>
      <w:widowControl/>
      <w:tabs>
        <w:tab w:val="left" w:pos="1296"/>
      </w:tabs>
      <w:autoSpaceDE/>
      <w:autoSpaceDN/>
      <w:adjustRightInd/>
      <w:spacing w:before="240" w:after="64" w:line="320" w:lineRule="auto"/>
      <w:ind w:left="1296" w:hanging="1296"/>
      <w:outlineLvl w:val="6"/>
    </w:pPr>
    <w:rPr>
      <w:rFonts w:ascii="Times New Roman"/>
      <w:b/>
      <w:bCs/>
    </w:rPr>
  </w:style>
  <w:style w:type="paragraph" w:styleId="9">
    <w:name w:val="heading 8"/>
    <w:basedOn w:val="1"/>
    <w:next w:val="1"/>
    <w:autoRedefine/>
    <w:qFormat/>
    <w:uiPriority w:val="0"/>
    <w:pPr>
      <w:keepNext/>
      <w:keepLines/>
      <w:widowControl/>
      <w:tabs>
        <w:tab w:val="left" w:pos="1440"/>
      </w:tabs>
      <w:autoSpaceDE/>
      <w:autoSpaceDN/>
      <w:adjustRightInd/>
      <w:spacing w:before="240" w:after="64" w:line="320" w:lineRule="auto"/>
      <w:ind w:left="1440" w:hanging="1440"/>
      <w:outlineLvl w:val="7"/>
    </w:pPr>
    <w:rPr>
      <w:rFonts w:ascii="Arial" w:hAnsi="Arial" w:eastAsia="黑体"/>
    </w:rPr>
  </w:style>
  <w:style w:type="paragraph" w:styleId="10">
    <w:name w:val="heading 9"/>
    <w:basedOn w:val="1"/>
    <w:next w:val="1"/>
    <w:autoRedefine/>
    <w:qFormat/>
    <w:uiPriority w:val="0"/>
    <w:pPr>
      <w:keepNext/>
      <w:keepLines/>
      <w:widowControl/>
      <w:tabs>
        <w:tab w:val="left" w:pos="1584"/>
      </w:tabs>
      <w:autoSpaceDE/>
      <w:autoSpaceDN/>
      <w:adjustRightInd/>
      <w:spacing w:before="240" w:after="64" w:line="320" w:lineRule="auto"/>
      <w:ind w:left="1584" w:hanging="1584"/>
      <w:outlineLvl w:val="8"/>
    </w:pPr>
    <w:rPr>
      <w:rFonts w:ascii="Arial" w:hAnsi="Arial" w:eastAsia="黑体"/>
      <w:sz w:val="21"/>
      <w:szCs w:val="21"/>
    </w:rPr>
  </w:style>
  <w:style w:type="character" w:default="1" w:styleId="50">
    <w:name w:val="Default Paragraph Font"/>
    <w:semiHidden/>
    <w:unhideWhenUsed/>
    <w:qFormat/>
    <w:uiPriority w:val="1"/>
  </w:style>
  <w:style w:type="table" w:default="1" w:styleId="48">
    <w:name w:val="Normal Table"/>
    <w:semiHidden/>
    <w:unhideWhenUsed/>
    <w:qFormat/>
    <w:uiPriority w:val="99"/>
    <w:tblPr>
      <w:tblCellMar>
        <w:top w:w="0" w:type="dxa"/>
        <w:left w:w="108" w:type="dxa"/>
        <w:bottom w:w="0" w:type="dxa"/>
        <w:right w:w="108" w:type="dxa"/>
      </w:tblCellMar>
    </w:tblPr>
  </w:style>
  <w:style w:type="paragraph" w:styleId="11">
    <w:name w:val="toc 7"/>
    <w:basedOn w:val="1"/>
    <w:next w:val="1"/>
    <w:autoRedefine/>
    <w:qFormat/>
    <w:uiPriority w:val="39"/>
    <w:pPr>
      <w:ind w:left="1440"/>
    </w:pPr>
    <w:rPr>
      <w:rFonts w:ascii="Calibri" w:hAnsi="Calibri" w:cs="Calibri"/>
      <w:sz w:val="18"/>
      <w:szCs w:val="18"/>
    </w:rPr>
  </w:style>
  <w:style w:type="paragraph" w:styleId="12">
    <w:name w:val="Normal Indent"/>
    <w:basedOn w:val="1"/>
    <w:link w:val="59"/>
    <w:autoRedefine/>
    <w:qFormat/>
    <w:uiPriority w:val="0"/>
    <w:pPr>
      <w:widowControl/>
      <w:autoSpaceDE/>
      <w:autoSpaceDN/>
      <w:adjustRightInd/>
      <w:ind w:firstLine="420" w:firstLineChars="200"/>
    </w:pPr>
    <w:rPr>
      <w:rFonts w:ascii="Times New Roman"/>
      <w:sz w:val="20"/>
      <w:szCs w:val="20"/>
    </w:rPr>
  </w:style>
  <w:style w:type="paragraph" w:styleId="13">
    <w:name w:val="caption"/>
    <w:basedOn w:val="1"/>
    <w:next w:val="1"/>
    <w:autoRedefine/>
    <w:qFormat/>
    <w:uiPriority w:val="0"/>
    <w:pPr>
      <w:spacing w:before="152" w:after="160"/>
    </w:pPr>
    <w:rPr>
      <w:rFonts w:ascii="Arial" w:hAnsi="Arial" w:eastAsia="黑体" w:cs="Arial"/>
      <w:sz w:val="20"/>
      <w:szCs w:val="20"/>
    </w:rPr>
  </w:style>
  <w:style w:type="paragraph" w:styleId="14">
    <w:name w:val="List Bullet"/>
    <w:basedOn w:val="15"/>
    <w:autoRedefine/>
    <w:qFormat/>
    <w:uiPriority w:val="0"/>
    <w:pPr>
      <w:widowControl/>
      <w:numPr>
        <w:ilvl w:val="0"/>
        <w:numId w:val="1"/>
      </w:numPr>
      <w:tabs>
        <w:tab w:val="left" w:pos="420"/>
      </w:tabs>
      <w:adjustRightInd/>
      <w:snapToGrid/>
      <w:ind w:right="720"/>
    </w:pPr>
    <w:rPr>
      <w:rFonts w:ascii="Garamond" w:hAnsi="Garamond"/>
      <w:kern w:val="0"/>
      <w:sz w:val="24"/>
      <w:szCs w:val="20"/>
    </w:rPr>
  </w:style>
  <w:style w:type="paragraph" w:styleId="15">
    <w:name w:val="List"/>
    <w:basedOn w:val="1"/>
    <w:autoRedefine/>
    <w:qFormat/>
    <w:uiPriority w:val="0"/>
    <w:pPr>
      <w:numPr>
        <w:ilvl w:val="0"/>
        <w:numId w:val="2"/>
      </w:numPr>
      <w:autoSpaceDE/>
      <w:autoSpaceDN/>
      <w:snapToGrid w:val="0"/>
      <w:spacing w:line="300" w:lineRule="auto"/>
      <w:jc w:val="both"/>
    </w:pPr>
    <w:rPr>
      <w:rFonts w:ascii="Times New Roman"/>
      <w:kern w:val="2"/>
      <w:sz w:val="21"/>
    </w:rPr>
  </w:style>
  <w:style w:type="paragraph" w:styleId="16">
    <w:name w:val="Document Map"/>
    <w:basedOn w:val="1"/>
    <w:autoRedefine/>
    <w:semiHidden/>
    <w:qFormat/>
    <w:uiPriority w:val="0"/>
    <w:pPr>
      <w:shd w:val="clear" w:color="auto" w:fill="000080"/>
    </w:pPr>
  </w:style>
  <w:style w:type="paragraph" w:styleId="17">
    <w:name w:val="toa heading"/>
    <w:basedOn w:val="1"/>
    <w:next w:val="1"/>
    <w:autoRedefine/>
    <w:semiHidden/>
    <w:qFormat/>
    <w:uiPriority w:val="0"/>
    <w:pPr>
      <w:snapToGrid w:val="0"/>
      <w:spacing w:before="120" w:line="360" w:lineRule="auto"/>
      <w:jc w:val="both"/>
    </w:pPr>
    <w:rPr>
      <w:rFonts w:ascii="Arial" w:hAnsi="Arial"/>
      <w:snapToGrid w:val="0"/>
      <w:color w:val="000000"/>
      <w:sz w:val="21"/>
      <w:szCs w:val="20"/>
    </w:rPr>
  </w:style>
  <w:style w:type="paragraph" w:styleId="18">
    <w:name w:val="annotation text"/>
    <w:basedOn w:val="1"/>
    <w:link w:val="60"/>
    <w:autoRedefine/>
    <w:semiHidden/>
    <w:qFormat/>
    <w:uiPriority w:val="0"/>
    <w:pPr>
      <w:widowControl/>
      <w:autoSpaceDE/>
      <w:autoSpaceDN/>
      <w:adjustRightInd/>
    </w:pPr>
    <w:rPr>
      <w:rFonts w:ascii="Times New Roman"/>
      <w:sz w:val="21"/>
      <w:szCs w:val="20"/>
    </w:rPr>
  </w:style>
  <w:style w:type="paragraph" w:styleId="19">
    <w:name w:val="Body Text 3"/>
    <w:basedOn w:val="1"/>
    <w:qFormat/>
    <w:uiPriority w:val="0"/>
    <w:pPr>
      <w:ind w:right="-26"/>
      <w:jc w:val="center"/>
    </w:pPr>
    <w:rPr>
      <w:b/>
      <w:bCs/>
      <w:color w:val="3366FF"/>
      <w:kern w:val="2"/>
      <w:sz w:val="52"/>
      <w:szCs w:val="52"/>
      <w:lang w:val="zh-CN"/>
    </w:rPr>
  </w:style>
  <w:style w:type="paragraph" w:styleId="20">
    <w:name w:val="Body Text"/>
    <w:basedOn w:val="1"/>
    <w:next w:val="1"/>
    <w:link w:val="61"/>
    <w:autoRedefine/>
    <w:qFormat/>
    <w:uiPriority w:val="99"/>
    <w:pPr>
      <w:ind w:right="-26"/>
      <w:jc w:val="center"/>
    </w:pPr>
    <w:rPr>
      <w:b/>
      <w:bCs/>
      <w:kern w:val="2"/>
      <w:sz w:val="84"/>
      <w:szCs w:val="84"/>
      <w:lang w:val="zh-CN"/>
    </w:rPr>
  </w:style>
  <w:style w:type="paragraph" w:styleId="21">
    <w:name w:val="Body Text Indent"/>
    <w:basedOn w:val="1"/>
    <w:link w:val="62"/>
    <w:autoRedefine/>
    <w:qFormat/>
    <w:uiPriority w:val="0"/>
    <w:pPr>
      <w:autoSpaceDE/>
      <w:autoSpaceDN/>
      <w:adjustRightInd/>
      <w:ind w:left="567" w:leftChars="270"/>
      <w:jc w:val="both"/>
    </w:pPr>
    <w:rPr>
      <w:rFonts w:ascii="Times New Roman"/>
      <w:kern w:val="2"/>
      <w:sz w:val="21"/>
      <w:szCs w:val="20"/>
    </w:rPr>
  </w:style>
  <w:style w:type="paragraph" w:styleId="22">
    <w:name w:val="List 2"/>
    <w:basedOn w:val="1"/>
    <w:autoRedefine/>
    <w:qFormat/>
    <w:uiPriority w:val="0"/>
    <w:pPr>
      <w:widowControl/>
      <w:autoSpaceDE/>
      <w:autoSpaceDN/>
      <w:adjustRightInd/>
      <w:ind w:left="100" w:leftChars="200" w:hanging="200" w:hangingChars="200"/>
    </w:pPr>
    <w:rPr>
      <w:rFonts w:ascii="Times New Roman"/>
      <w:sz w:val="21"/>
      <w:szCs w:val="20"/>
    </w:rPr>
  </w:style>
  <w:style w:type="paragraph" w:styleId="23">
    <w:name w:val="Block Text"/>
    <w:basedOn w:val="1"/>
    <w:autoRedefine/>
    <w:qFormat/>
    <w:uiPriority w:val="0"/>
    <w:pPr>
      <w:spacing w:after="120"/>
      <w:ind w:left="1440" w:leftChars="700" w:right="1440" w:rightChars="700"/>
    </w:pPr>
  </w:style>
  <w:style w:type="paragraph" w:styleId="24">
    <w:name w:val="toc 5"/>
    <w:basedOn w:val="1"/>
    <w:next w:val="1"/>
    <w:autoRedefine/>
    <w:qFormat/>
    <w:uiPriority w:val="39"/>
    <w:pPr>
      <w:ind w:left="960"/>
    </w:pPr>
    <w:rPr>
      <w:rFonts w:ascii="Calibri" w:hAnsi="Calibri" w:cs="Calibri"/>
      <w:sz w:val="18"/>
      <w:szCs w:val="18"/>
    </w:rPr>
  </w:style>
  <w:style w:type="paragraph" w:styleId="25">
    <w:name w:val="toc 3"/>
    <w:basedOn w:val="1"/>
    <w:next w:val="1"/>
    <w:autoRedefine/>
    <w:qFormat/>
    <w:uiPriority w:val="39"/>
    <w:pPr>
      <w:ind w:left="480"/>
    </w:pPr>
    <w:rPr>
      <w:rFonts w:ascii="Calibri" w:hAnsi="Calibri" w:cs="Calibri"/>
      <w:i/>
      <w:iCs/>
      <w:sz w:val="20"/>
      <w:szCs w:val="20"/>
    </w:rPr>
  </w:style>
  <w:style w:type="paragraph" w:styleId="26">
    <w:name w:val="Plain Text"/>
    <w:basedOn w:val="1"/>
    <w:link w:val="63"/>
    <w:autoRedefine/>
    <w:qFormat/>
    <w:uiPriority w:val="0"/>
    <w:pPr>
      <w:autoSpaceDE/>
      <w:autoSpaceDN/>
      <w:adjustRightInd/>
      <w:jc w:val="both"/>
    </w:pPr>
    <w:rPr>
      <w:rFonts w:hAnsi="Courier New"/>
      <w:kern w:val="2"/>
      <w:sz w:val="21"/>
      <w:szCs w:val="20"/>
    </w:rPr>
  </w:style>
  <w:style w:type="paragraph" w:styleId="27">
    <w:name w:val="toc 8"/>
    <w:basedOn w:val="1"/>
    <w:next w:val="1"/>
    <w:autoRedefine/>
    <w:qFormat/>
    <w:uiPriority w:val="39"/>
    <w:pPr>
      <w:ind w:left="1680"/>
    </w:pPr>
    <w:rPr>
      <w:rFonts w:ascii="Calibri" w:hAnsi="Calibri" w:cs="Calibri"/>
      <w:sz w:val="18"/>
      <w:szCs w:val="18"/>
    </w:rPr>
  </w:style>
  <w:style w:type="paragraph" w:styleId="28">
    <w:name w:val="Date"/>
    <w:basedOn w:val="1"/>
    <w:next w:val="1"/>
    <w:autoRedefine/>
    <w:qFormat/>
    <w:uiPriority w:val="0"/>
    <w:pPr>
      <w:ind w:left="100" w:leftChars="2500"/>
    </w:pPr>
    <w:rPr>
      <w:b/>
      <w:bCs/>
      <w:kern w:val="2"/>
      <w:sz w:val="21"/>
      <w:szCs w:val="21"/>
      <w:lang w:val="zh-CN"/>
    </w:rPr>
  </w:style>
  <w:style w:type="paragraph" w:styleId="29">
    <w:name w:val="Body Text Indent 2"/>
    <w:basedOn w:val="1"/>
    <w:autoRedefine/>
    <w:qFormat/>
    <w:uiPriority w:val="0"/>
    <w:pPr>
      <w:tabs>
        <w:tab w:val="left" w:pos="8640"/>
      </w:tabs>
      <w:autoSpaceDE/>
      <w:autoSpaceDN/>
      <w:adjustRightInd/>
      <w:ind w:left="1260"/>
      <w:jc w:val="both"/>
    </w:pPr>
    <w:rPr>
      <w:kern w:val="2"/>
      <w:sz w:val="21"/>
      <w:szCs w:val="20"/>
    </w:rPr>
  </w:style>
  <w:style w:type="paragraph" w:styleId="30">
    <w:name w:val="Balloon Text"/>
    <w:basedOn w:val="1"/>
    <w:link w:val="64"/>
    <w:autoRedefine/>
    <w:qFormat/>
    <w:uiPriority w:val="99"/>
    <w:pPr>
      <w:autoSpaceDE/>
      <w:autoSpaceDN/>
      <w:adjustRightInd/>
      <w:jc w:val="both"/>
    </w:pPr>
    <w:rPr>
      <w:rFonts w:ascii="Times New Roman"/>
      <w:kern w:val="2"/>
      <w:sz w:val="18"/>
      <w:szCs w:val="18"/>
    </w:rPr>
  </w:style>
  <w:style w:type="paragraph" w:styleId="31">
    <w:name w:val="footer"/>
    <w:basedOn w:val="1"/>
    <w:link w:val="65"/>
    <w:autoRedefine/>
    <w:qFormat/>
    <w:uiPriority w:val="99"/>
    <w:pPr>
      <w:tabs>
        <w:tab w:val="center" w:pos="4153"/>
        <w:tab w:val="right" w:pos="8306"/>
      </w:tabs>
      <w:snapToGrid w:val="0"/>
    </w:pPr>
    <w:rPr>
      <w:sz w:val="18"/>
      <w:szCs w:val="18"/>
    </w:rPr>
  </w:style>
  <w:style w:type="paragraph" w:styleId="32">
    <w:name w:val="header"/>
    <w:basedOn w:val="1"/>
    <w:link w:val="66"/>
    <w:autoRedefine/>
    <w:qFormat/>
    <w:uiPriority w:val="99"/>
    <w:pPr>
      <w:pBdr>
        <w:bottom w:val="single" w:color="auto" w:sz="6" w:space="1"/>
      </w:pBdr>
      <w:tabs>
        <w:tab w:val="center" w:pos="4153"/>
        <w:tab w:val="right" w:pos="8306"/>
      </w:tabs>
      <w:snapToGrid w:val="0"/>
      <w:jc w:val="center"/>
    </w:pPr>
    <w:rPr>
      <w:sz w:val="18"/>
      <w:szCs w:val="18"/>
    </w:rPr>
  </w:style>
  <w:style w:type="paragraph" w:styleId="33">
    <w:name w:val="toc 1"/>
    <w:basedOn w:val="1"/>
    <w:next w:val="1"/>
    <w:autoRedefine/>
    <w:qFormat/>
    <w:uiPriority w:val="39"/>
    <w:pPr>
      <w:spacing w:before="120" w:after="120"/>
    </w:pPr>
    <w:rPr>
      <w:rFonts w:ascii="Calibri" w:hAnsi="Calibri" w:cs="Calibri"/>
      <w:b/>
      <w:bCs/>
      <w:caps/>
      <w:sz w:val="20"/>
      <w:szCs w:val="20"/>
    </w:rPr>
  </w:style>
  <w:style w:type="paragraph" w:styleId="34">
    <w:name w:val="toc 4"/>
    <w:basedOn w:val="1"/>
    <w:next w:val="1"/>
    <w:autoRedefine/>
    <w:qFormat/>
    <w:uiPriority w:val="39"/>
    <w:pPr>
      <w:ind w:left="720"/>
    </w:pPr>
    <w:rPr>
      <w:rFonts w:ascii="Calibri" w:hAnsi="Calibri" w:cs="Calibri"/>
      <w:sz w:val="18"/>
      <w:szCs w:val="18"/>
    </w:rPr>
  </w:style>
  <w:style w:type="paragraph" w:styleId="35">
    <w:name w:val="index heading"/>
    <w:basedOn w:val="1"/>
    <w:next w:val="36"/>
    <w:autoRedefine/>
    <w:semiHidden/>
    <w:qFormat/>
    <w:uiPriority w:val="0"/>
    <w:pPr>
      <w:autoSpaceDE/>
      <w:autoSpaceDN/>
      <w:adjustRightInd/>
      <w:jc w:val="both"/>
    </w:pPr>
    <w:rPr>
      <w:rFonts w:ascii="Times New Roman"/>
      <w:kern w:val="2"/>
      <w:sz w:val="21"/>
      <w:szCs w:val="20"/>
    </w:rPr>
  </w:style>
  <w:style w:type="paragraph" w:styleId="36">
    <w:name w:val="index 1"/>
    <w:basedOn w:val="1"/>
    <w:next w:val="1"/>
    <w:autoRedefine/>
    <w:semiHidden/>
    <w:qFormat/>
    <w:uiPriority w:val="0"/>
    <w:pPr>
      <w:autoSpaceDE/>
      <w:autoSpaceDN/>
      <w:adjustRightInd/>
      <w:ind w:left="540" w:leftChars="257"/>
      <w:jc w:val="both"/>
    </w:pPr>
    <w:rPr>
      <w:rFonts w:ascii="Arial" w:hAnsi="Arial" w:cs="Arial"/>
      <w:kern w:val="2"/>
      <w:sz w:val="21"/>
    </w:rPr>
  </w:style>
  <w:style w:type="paragraph" w:styleId="37">
    <w:name w:val="Subtitle"/>
    <w:basedOn w:val="1"/>
    <w:link w:val="67"/>
    <w:autoRedefine/>
    <w:qFormat/>
    <w:uiPriority w:val="0"/>
    <w:pPr>
      <w:autoSpaceDE/>
      <w:autoSpaceDN/>
      <w:adjustRightInd/>
      <w:spacing w:before="240" w:after="60" w:line="312" w:lineRule="auto"/>
      <w:jc w:val="center"/>
      <w:outlineLvl w:val="1"/>
    </w:pPr>
    <w:rPr>
      <w:rFonts w:ascii="Arial" w:hAnsi="Arial"/>
      <w:b/>
      <w:kern w:val="28"/>
      <w:sz w:val="32"/>
      <w:szCs w:val="20"/>
    </w:rPr>
  </w:style>
  <w:style w:type="paragraph" w:styleId="38">
    <w:name w:val="toc 6"/>
    <w:basedOn w:val="1"/>
    <w:next w:val="1"/>
    <w:autoRedefine/>
    <w:qFormat/>
    <w:uiPriority w:val="39"/>
    <w:pPr>
      <w:ind w:left="1200"/>
    </w:pPr>
    <w:rPr>
      <w:rFonts w:ascii="Calibri" w:hAnsi="Calibri" w:cs="Calibri"/>
      <w:sz w:val="18"/>
      <w:szCs w:val="18"/>
    </w:rPr>
  </w:style>
  <w:style w:type="paragraph" w:styleId="39">
    <w:name w:val="Body Text Indent 3"/>
    <w:basedOn w:val="1"/>
    <w:autoRedefine/>
    <w:qFormat/>
    <w:uiPriority w:val="0"/>
    <w:pPr>
      <w:spacing w:line="360" w:lineRule="auto"/>
      <w:ind w:firstLine="480" w:firstLineChars="200"/>
    </w:pPr>
  </w:style>
  <w:style w:type="paragraph" w:styleId="40">
    <w:name w:val="toc 2"/>
    <w:basedOn w:val="1"/>
    <w:next w:val="1"/>
    <w:autoRedefine/>
    <w:qFormat/>
    <w:uiPriority w:val="39"/>
    <w:pPr>
      <w:ind w:left="240"/>
    </w:pPr>
    <w:rPr>
      <w:rFonts w:ascii="Calibri" w:hAnsi="Calibri" w:cs="Calibri"/>
      <w:smallCaps/>
      <w:sz w:val="20"/>
      <w:szCs w:val="20"/>
    </w:rPr>
  </w:style>
  <w:style w:type="paragraph" w:styleId="41">
    <w:name w:val="toc 9"/>
    <w:basedOn w:val="1"/>
    <w:next w:val="1"/>
    <w:autoRedefine/>
    <w:qFormat/>
    <w:uiPriority w:val="39"/>
    <w:pPr>
      <w:ind w:left="1920"/>
    </w:pPr>
    <w:rPr>
      <w:rFonts w:ascii="Calibri" w:hAnsi="Calibri" w:cs="Calibri"/>
      <w:sz w:val="18"/>
      <w:szCs w:val="18"/>
    </w:rPr>
  </w:style>
  <w:style w:type="paragraph" w:styleId="42">
    <w:name w:val="Body Text 2"/>
    <w:basedOn w:val="1"/>
    <w:autoRedefine/>
    <w:qFormat/>
    <w:uiPriority w:val="0"/>
    <w:pPr>
      <w:tabs>
        <w:tab w:val="left" w:pos="0"/>
      </w:tabs>
      <w:autoSpaceDE/>
      <w:autoSpaceDN/>
      <w:adjustRightInd/>
      <w:spacing w:line="400" w:lineRule="atLeast"/>
      <w:jc w:val="both"/>
    </w:pPr>
    <w:rPr>
      <w:rFonts w:ascii="Arial" w:hAnsi="Arial"/>
      <w:color w:val="000000"/>
      <w:kern w:val="2"/>
      <w:sz w:val="21"/>
    </w:rPr>
  </w:style>
  <w:style w:type="paragraph" w:styleId="43">
    <w:name w:val="HTML Preformatted"/>
    <w:basedOn w:val="1"/>
    <w:autoRedefine/>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spacing w:line="380" w:lineRule="exact"/>
    </w:pPr>
    <w:rPr>
      <w:rFonts w:ascii="黑体" w:hAnsi="Courier New" w:eastAsia="黑体"/>
      <w:sz w:val="20"/>
      <w:szCs w:val="20"/>
    </w:rPr>
  </w:style>
  <w:style w:type="paragraph" w:styleId="44">
    <w:name w:val="Normal (Web)"/>
    <w:basedOn w:val="1"/>
    <w:autoRedefine/>
    <w:qFormat/>
    <w:uiPriority w:val="99"/>
    <w:pPr>
      <w:widowControl/>
      <w:autoSpaceDE/>
      <w:autoSpaceDN/>
      <w:adjustRightInd/>
      <w:spacing w:before="100" w:beforeAutospacing="1" w:after="100" w:afterAutospacing="1"/>
    </w:pPr>
    <w:rPr>
      <w:rFonts w:hAnsi="宋体"/>
      <w:sz w:val="15"/>
      <w:szCs w:val="15"/>
    </w:rPr>
  </w:style>
  <w:style w:type="paragraph" w:styleId="45">
    <w:name w:val="Title"/>
    <w:basedOn w:val="1"/>
    <w:next w:val="1"/>
    <w:autoRedefine/>
    <w:qFormat/>
    <w:uiPriority w:val="0"/>
    <w:pPr>
      <w:numPr>
        <w:ilvl w:val="0"/>
        <w:numId w:val="3"/>
      </w:numPr>
      <w:tabs>
        <w:tab w:val="clear" w:pos="2121"/>
      </w:tabs>
      <w:autoSpaceDE/>
      <w:autoSpaceDN/>
      <w:snapToGrid w:val="0"/>
      <w:spacing w:before="156" w:beforeLines="50" w:after="156" w:afterLines="50"/>
      <w:ind w:left="0" w:firstLine="0"/>
      <w:jc w:val="center"/>
      <w:outlineLvl w:val="0"/>
    </w:pPr>
    <w:rPr>
      <w:rFonts w:ascii="Arial" w:hAnsi="Arial" w:cs="Arial"/>
      <w:b/>
      <w:bCs/>
      <w:kern w:val="2"/>
      <w:sz w:val="52"/>
      <w:szCs w:val="32"/>
    </w:rPr>
  </w:style>
  <w:style w:type="paragraph" w:styleId="46">
    <w:name w:val="annotation subject"/>
    <w:basedOn w:val="18"/>
    <w:next w:val="18"/>
    <w:autoRedefine/>
    <w:semiHidden/>
    <w:qFormat/>
    <w:uiPriority w:val="0"/>
    <w:rPr>
      <w:b/>
      <w:bCs/>
    </w:rPr>
  </w:style>
  <w:style w:type="paragraph" w:styleId="47">
    <w:name w:val="Body Text First Indent"/>
    <w:basedOn w:val="1"/>
    <w:autoRedefine/>
    <w:qFormat/>
    <w:uiPriority w:val="0"/>
    <w:pPr>
      <w:widowControl/>
      <w:autoSpaceDE/>
      <w:autoSpaceDN/>
      <w:adjustRightInd/>
      <w:spacing w:after="120"/>
      <w:ind w:firstLine="420" w:firstLineChars="100"/>
    </w:pPr>
    <w:rPr>
      <w:rFonts w:ascii="Times New Roman"/>
      <w:sz w:val="21"/>
      <w:szCs w:val="20"/>
    </w:rPr>
  </w:style>
  <w:style w:type="table" w:styleId="49">
    <w:name w:val="Table Grid"/>
    <w:basedOn w:val="48"/>
    <w:autoRedefine/>
    <w:unhideWhenUsed/>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51">
    <w:name w:val="Strong"/>
    <w:autoRedefine/>
    <w:qFormat/>
    <w:uiPriority w:val="22"/>
    <w:rPr>
      <w:b/>
      <w:bCs/>
    </w:rPr>
  </w:style>
  <w:style w:type="character" w:styleId="52">
    <w:name w:val="page number"/>
    <w:autoRedefine/>
    <w:qFormat/>
    <w:uiPriority w:val="0"/>
  </w:style>
  <w:style w:type="character" w:styleId="53">
    <w:name w:val="FollowedHyperlink"/>
    <w:autoRedefine/>
    <w:qFormat/>
    <w:uiPriority w:val="99"/>
    <w:rPr>
      <w:color w:val="800080"/>
      <w:u w:val="single"/>
    </w:rPr>
  </w:style>
  <w:style w:type="character" w:styleId="54">
    <w:name w:val="Emphasis"/>
    <w:autoRedefine/>
    <w:qFormat/>
    <w:uiPriority w:val="0"/>
    <w:rPr>
      <w:i/>
      <w:iCs/>
    </w:rPr>
  </w:style>
  <w:style w:type="character" w:styleId="55">
    <w:name w:val="Hyperlink"/>
    <w:autoRedefine/>
    <w:qFormat/>
    <w:uiPriority w:val="99"/>
    <w:rPr>
      <w:color w:val="0000FF"/>
      <w:u w:val="single"/>
    </w:rPr>
  </w:style>
  <w:style w:type="character" w:styleId="56">
    <w:name w:val="annotation reference"/>
    <w:autoRedefine/>
    <w:semiHidden/>
    <w:qFormat/>
    <w:uiPriority w:val="0"/>
    <w:rPr>
      <w:sz w:val="21"/>
      <w:szCs w:val="21"/>
    </w:rPr>
  </w:style>
  <w:style w:type="character" w:customStyle="1" w:styleId="57">
    <w:name w:val="标题 2 字符"/>
    <w:link w:val="3"/>
    <w:autoRedefine/>
    <w:qFormat/>
    <w:uiPriority w:val="0"/>
    <w:rPr>
      <w:rFonts w:ascii="宋体"/>
      <w:sz w:val="24"/>
      <w:szCs w:val="24"/>
    </w:rPr>
  </w:style>
  <w:style w:type="character" w:customStyle="1" w:styleId="58">
    <w:name w:val="标题 3 字符"/>
    <w:link w:val="4"/>
    <w:autoRedefine/>
    <w:qFormat/>
    <w:uiPriority w:val="0"/>
    <w:rPr>
      <w:rFonts w:ascii="宋体"/>
      <w:sz w:val="24"/>
      <w:szCs w:val="24"/>
    </w:rPr>
  </w:style>
  <w:style w:type="character" w:customStyle="1" w:styleId="59">
    <w:name w:val="正文缩进 字符"/>
    <w:link w:val="12"/>
    <w:autoRedefine/>
    <w:qFormat/>
    <w:uiPriority w:val="0"/>
    <w:rPr>
      <w:rFonts w:eastAsia="宋体"/>
      <w:lang w:val="en-US" w:eastAsia="zh-CN" w:bidi="ar-SA"/>
    </w:rPr>
  </w:style>
  <w:style w:type="character" w:customStyle="1" w:styleId="60">
    <w:name w:val="批注文字 字符"/>
    <w:link w:val="18"/>
    <w:autoRedefine/>
    <w:semiHidden/>
    <w:qFormat/>
    <w:uiPriority w:val="0"/>
    <w:rPr>
      <w:sz w:val="21"/>
    </w:rPr>
  </w:style>
  <w:style w:type="character" w:customStyle="1" w:styleId="61">
    <w:name w:val="正文文本 字符"/>
    <w:link w:val="20"/>
    <w:autoRedefine/>
    <w:qFormat/>
    <w:uiPriority w:val="99"/>
    <w:rPr>
      <w:rFonts w:ascii="宋体"/>
      <w:b/>
      <w:bCs/>
      <w:kern w:val="2"/>
      <w:sz w:val="84"/>
      <w:szCs w:val="84"/>
      <w:lang w:val="zh-CN"/>
    </w:rPr>
  </w:style>
  <w:style w:type="character" w:customStyle="1" w:styleId="62">
    <w:name w:val="正文文本缩进 字符"/>
    <w:link w:val="21"/>
    <w:autoRedefine/>
    <w:qFormat/>
    <w:uiPriority w:val="0"/>
    <w:rPr>
      <w:kern w:val="2"/>
      <w:sz w:val="21"/>
    </w:rPr>
  </w:style>
  <w:style w:type="character" w:customStyle="1" w:styleId="63">
    <w:name w:val="纯文本 字符"/>
    <w:link w:val="26"/>
    <w:autoRedefine/>
    <w:qFormat/>
    <w:uiPriority w:val="0"/>
    <w:rPr>
      <w:rFonts w:ascii="宋体" w:hAnsi="Courier New" w:eastAsia="宋体"/>
      <w:kern w:val="2"/>
      <w:sz w:val="21"/>
      <w:lang w:val="en-US" w:eastAsia="zh-CN" w:bidi="ar-SA"/>
    </w:rPr>
  </w:style>
  <w:style w:type="character" w:customStyle="1" w:styleId="64">
    <w:name w:val="批注框文本 字符"/>
    <w:link w:val="30"/>
    <w:autoRedefine/>
    <w:qFormat/>
    <w:uiPriority w:val="99"/>
    <w:rPr>
      <w:kern w:val="2"/>
      <w:sz w:val="18"/>
      <w:szCs w:val="18"/>
    </w:rPr>
  </w:style>
  <w:style w:type="character" w:customStyle="1" w:styleId="65">
    <w:name w:val="页脚 字符"/>
    <w:link w:val="31"/>
    <w:autoRedefine/>
    <w:qFormat/>
    <w:uiPriority w:val="99"/>
    <w:rPr>
      <w:rFonts w:ascii="宋体"/>
      <w:sz w:val="18"/>
      <w:szCs w:val="18"/>
    </w:rPr>
  </w:style>
  <w:style w:type="character" w:customStyle="1" w:styleId="66">
    <w:name w:val="页眉 字符"/>
    <w:link w:val="32"/>
    <w:autoRedefine/>
    <w:qFormat/>
    <w:uiPriority w:val="99"/>
    <w:rPr>
      <w:rFonts w:ascii="宋体"/>
      <w:sz w:val="18"/>
      <w:szCs w:val="18"/>
    </w:rPr>
  </w:style>
  <w:style w:type="character" w:customStyle="1" w:styleId="67">
    <w:name w:val="副标题 字符"/>
    <w:link w:val="37"/>
    <w:autoRedefine/>
    <w:qFormat/>
    <w:uiPriority w:val="0"/>
    <w:rPr>
      <w:rFonts w:ascii="Arial" w:hAnsi="Arial"/>
      <w:b/>
      <w:kern w:val="28"/>
      <w:sz w:val="32"/>
    </w:rPr>
  </w:style>
  <w:style w:type="character" w:customStyle="1" w:styleId="68">
    <w:name w:val="p105"/>
    <w:autoRedefine/>
    <w:qFormat/>
    <w:uiPriority w:val="0"/>
  </w:style>
  <w:style w:type="character" w:customStyle="1" w:styleId="69">
    <w:name w:val="Highlighted Variable"/>
    <w:autoRedefine/>
    <w:qFormat/>
    <w:uiPriority w:val="0"/>
    <w:rPr>
      <w:color w:val="000000"/>
    </w:rPr>
  </w:style>
  <w:style w:type="character" w:customStyle="1" w:styleId="70">
    <w:name w:val="正文缩进2格 Char"/>
    <w:link w:val="71"/>
    <w:autoRedefine/>
    <w:qFormat/>
    <w:uiPriority w:val="99"/>
    <w:rPr>
      <w:rFonts w:ascii="仿宋_GB2312" w:hAnsi="宋体" w:eastAsia="仿宋_GB2312"/>
      <w:kern w:val="2"/>
      <w:sz w:val="31"/>
      <w:szCs w:val="28"/>
      <w:lang w:val="en-US" w:eastAsia="zh-CN" w:bidi="ar-SA"/>
    </w:rPr>
  </w:style>
  <w:style w:type="paragraph" w:customStyle="1" w:styleId="71">
    <w:name w:val="正文缩进2格"/>
    <w:basedOn w:val="1"/>
    <w:link w:val="70"/>
    <w:autoRedefine/>
    <w:qFormat/>
    <w:uiPriority w:val="99"/>
    <w:pPr>
      <w:autoSpaceDE/>
      <w:autoSpaceDN/>
      <w:adjustRightInd/>
      <w:spacing w:line="600" w:lineRule="exact"/>
      <w:ind w:firstLine="639" w:firstLineChars="206"/>
      <w:jc w:val="both"/>
    </w:pPr>
    <w:rPr>
      <w:rFonts w:ascii="仿宋_GB2312" w:hAnsi="宋体" w:eastAsia="仿宋_GB2312"/>
      <w:kern w:val="2"/>
      <w:sz w:val="31"/>
      <w:szCs w:val="28"/>
    </w:rPr>
  </w:style>
  <w:style w:type="character" w:customStyle="1" w:styleId="72">
    <w:name w:val="DAS正文 Char"/>
    <w:autoRedefine/>
    <w:qFormat/>
    <w:uiPriority w:val="0"/>
    <w:rPr>
      <w:rFonts w:ascii="Verdana" w:hAnsi="Verdana" w:eastAsia="宋体"/>
      <w:kern w:val="2"/>
      <w:sz w:val="21"/>
      <w:szCs w:val="21"/>
      <w:lang w:val="en-US" w:eastAsia="zh-CN" w:bidi="ar-SA"/>
    </w:rPr>
  </w:style>
  <w:style w:type="character" w:customStyle="1" w:styleId="73">
    <w:name w:val="style61"/>
    <w:autoRedefine/>
    <w:qFormat/>
    <w:uiPriority w:val="0"/>
    <w:rPr>
      <w:b/>
      <w:bCs/>
    </w:rPr>
  </w:style>
  <w:style w:type="character" w:customStyle="1" w:styleId="74">
    <w:name w:val="keyfeatures1"/>
    <w:autoRedefine/>
    <w:qFormat/>
    <w:uiPriority w:val="0"/>
    <w:rPr>
      <w:rFonts w:hint="default" w:ascii="Arial" w:hAnsi="Arial" w:cs="Arial"/>
      <w:color w:val="003366"/>
      <w:sz w:val="17"/>
      <w:szCs w:val="17"/>
      <w:u w:val="none"/>
    </w:rPr>
  </w:style>
  <w:style w:type="character" w:customStyle="1" w:styleId="75">
    <w:name w:val="f141"/>
    <w:autoRedefine/>
    <w:qFormat/>
    <w:uiPriority w:val="0"/>
    <w:rPr>
      <w:sz w:val="21"/>
      <w:szCs w:val="21"/>
    </w:rPr>
  </w:style>
  <w:style w:type="character" w:customStyle="1" w:styleId="76">
    <w:name w:val="meuncn1"/>
    <w:autoRedefine/>
    <w:qFormat/>
    <w:uiPriority w:val="0"/>
    <w:rPr>
      <w:rFonts w:hint="eastAsia" w:ascii="宋体" w:hAnsi="宋体" w:eastAsia="宋体"/>
      <w:color w:val="666666"/>
      <w:sz w:val="18"/>
      <w:u w:val="none"/>
    </w:rPr>
  </w:style>
  <w:style w:type="character" w:customStyle="1" w:styleId="77">
    <w:name w:val="bold1"/>
    <w:autoRedefine/>
    <w:qFormat/>
    <w:uiPriority w:val="0"/>
    <w:rPr>
      <w:sz w:val="32"/>
    </w:rPr>
  </w:style>
  <w:style w:type="character" w:customStyle="1" w:styleId="78">
    <w:name w:val="wctjfont1"/>
    <w:autoRedefine/>
    <w:qFormat/>
    <w:uiPriority w:val="0"/>
    <w:rPr>
      <w:sz w:val="18"/>
    </w:rPr>
  </w:style>
  <w:style w:type="paragraph" w:customStyle="1" w:styleId="79">
    <w:name w:val="题注5"/>
    <w:basedOn w:val="1"/>
    <w:next w:val="13"/>
    <w:autoRedefine/>
    <w:qFormat/>
    <w:uiPriority w:val="0"/>
    <w:pPr>
      <w:autoSpaceDE/>
      <w:autoSpaceDN/>
      <w:adjustRightInd/>
      <w:jc w:val="center"/>
    </w:pPr>
    <w:rPr>
      <w:rFonts w:ascii="Times New Roman"/>
      <w:b/>
      <w:color w:val="000000"/>
      <w:kern w:val="2"/>
      <w:szCs w:val="21"/>
    </w:rPr>
  </w:style>
  <w:style w:type="paragraph" w:customStyle="1" w:styleId="80">
    <w:name w:val="正文居中"/>
    <w:basedOn w:val="1"/>
    <w:next w:val="1"/>
    <w:autoRedefine/>
    <w:qFormat/>
    <w:uiPriority w:val="0"/>
    <w:pPr>
      <w:autoSpaceDE/>
      <w:autoSpaceDN/>
      <w:snapToGrid w:val="0"/>
      <w:spacing w:line="300" w:lineRule="auto"/>
      <w:jc w:val="center"/>
    </w:pPr>
    <w:rPr>
      <w:rFonts w:ascii="Times New Roman"/>
      <w:kern w:val="2"/>
      <w:sz w:val="21"/>
    </w:rPr>
  </w:style>
  <w:style w:type="paragraph" w:customStyle="1" w:styleId="81">
    <w:name w:val="表中文字"/>
    <w:basedOn w:val="1"/>
    <w:autoRedefine/>
    <w:qFormat/>
    <w:uiPriority w:val="0"/>
    <w:pPr>
      <w:spacing w:line="400" w:lineRule="atLeast"/>
      <w:ind w:left="35" w:leftChars="14" w:hanging="1"/>
      <w:jc w:val="center"/>
      <w:textAlignment w:val="baseline"/>
    </w:pPr>
    <w:rPr>
      <w:rFonts w:ascii="Verdana" w:hAnsi="Verdana"/>
      <w:sz w:val="21"/>
      <w:szCs w:val="28"/>
    </w:rPr>
  </w:style>
  <w:style w:type="paragraph" w:customStyle="1" w:styleId="82">
    <w:name w:val="图"/>
    <w:basedOn w:val="1"/>
    <w:autoRedefine/>
    <w:qFormat/>
    <w:uiPriority w:val="0"/>
    <w:pPr>
      <w:keepNext/>
      <w:autoSpaceDE/>
      <w:autoSpaceDN/>
      <w:spacing w:before="60" w:after="60" w:line="300" w:lineRule="auto"/>
      <w:jc w:val="center"/>
      <w:textAlignment w:val="center"/>
    </w:pPr>
    <w:rPr>
      <w:rFonts w:ascii="Times New Roman"/>
      <w:snapToGrid w:val="0"/>
      <w:spacing w:val="20"/>
      <w:szCs w:val="20"/>
    </w:rPr>
  </w:style>
  <w:style w:type="paragraph" w:customStyle="1" w:styleId="83">
    <w:name w:val="样式 标题 3Level 3 HeadH3Heading 3 - oldh3sect1.2.3Head33l3..."/>
    <w:basedOn w:val="4"/>
    <w:autoRedefine/>
    <w:qFormat/>
    <w:uiPriority w:val="0"/>
    <w:pPr>
      <w:tabs>
        <w:tab w:val="left" w:pos="720"/>
      </w:tabs>
      <w:autoSpaceDE/>
      <w:autoSpaceDN/>
      <w:adjustRightInd/>
      <w:spacing w:line="360" w:lineRule="auto"/>
      <w:ind w:left="720" w:hanging="720"/>
      <w:jc w:val="both"/>
    </w:pPr>
    <w:rPr>
      <w:rFonts w:ascii="Times New Roman" w:cs="宋体"/>
      <w:kern w:val="2"/>
      <w:sz w:val="21"/>
      <w:szCs w:val="20"/>
    </w:rPr>
  </w:style>
  <w:style w:type="paragraph" w:customStyle="1" w:styleId="84">
    <w:name w:val="xl32"/>
    <w:basedOn w:val="1"/>
    <w:autoRedefine/>
    <w:qFormat/>
    <w:uiPriority w:val="0"/>
    <w:pPr>
      <w:widowControl/>
      <w:pBdr>
        <w:top w:val="single" w:color="auto" w:sz="4" w:space="0"/>
        <w:left w:val="single" w:color="auto" w:sz="4" w:space="0"/>
        <w:bottom w:val="single" w:color="auto" w:sz="4" w:space="0"/>
        <w:right w:val="single" w:color="auto" w:sz="4" w:space="0"/>
      </w:pBdr>
      <w:autoSpaceDE/>
      <w:autoSpaceDN/>
      <w:adjustRightInd/>
      <w:spacing w:before="100" w:beforeAutospacing="1" w:after="100" w:afterAutospacing="1"/>
      <w:textAlignment w:val="center"/>
    </w:pPr>
    <w:rPr>
      <w:rFonts w:ascii="Arial Unicode MS" w:hAnsi="Arial Unicode MS" w:eastAsia="Arial Unicode MS"/>
      <w:sz w:val="20"/>
      <w:szCs w:val="20"/>
    </w:rPr>
  </w:style>
  <w:style w:type="paragraph" w:customStyle="1" w:styleId="85">
    <w:name w:val="Char Char Char"/>
    <w:basedOn w:val="1"/>
    <w:autoRedefine/>
    <w:qFormat/>
    <w:uiPriority w:val="0"/>
    <w:pPr>
      <w:autoSpaceDE/>
      <w:autoSpaceDN/>
      <w:adjustRightInd/>
      <w:jc w:val="both"/>
    </w:pPr>
    <w:rPr>
      <w:rFonts w:ascii="Tahoma" w:hAnsi="Tahoma"/>
      <w:b/>
      <w:sz w:val="28"/>
      <w:szCs w:val="20"/>
    </w:rPr>
  </w:style>
  <w:style w:type="paragraph" w:customStyle="1" w:styleId="86">
    <w:name w:val="保留正文"/>
    <w:basedOn w:val="20"/>
    <w:autoRedefine/>
    <w:qFormat/>
    <w:uiPriority w:val="0"/>
    <w:pPr>
      <w:keepNext/>
      <w:autoSpaceDE/>
      <w:autoSpaceDN/>
      <w:adjustRightInd/>
      <w:spacing w:after="160"/>
      <w:ind w:right="0"/>
      <w:jc w:val="both"/>
    </w:pPr>
    <w:rPr>
      <w:rFonts w:ascii="Times New Roman"/>
      <w:b w:val="0"/>
      <w:bCs w:val="0"/>
      <w:sz w:val="21"/>
      <w:szCs w:val="24"/>
      <w:lang w:val="en-US"/>
    </w:rPr>
  </w:style>
  <w:style w:type="paragraph" w:customStyle="1" w:styleId="87">
    <w:name w:val="Char1"/>
    <w:basedOn w:val="16"/>
    <w:autoRedefine/>
    <w:qFormat/>
    <w:uiPriority w:val="0"/>
    <w:pPr>
      <w:autoSpaceDE/>
      <w:autoSpaceDN/>
      <w:adjustRightInd/>
      <w:jc w:val="both"/>
    </w:pPr>
    <w:rPr>
      <w:rFonts w:ascii="Tahoma" w:hAnsi="Tahoma"/>
      <w:kern w:val="2"/>
    </w:rPr>
  </w:style>
  <w:style w:type="paragraph" w:customStyle="1" w:styleId="88">
    <w:name w:val="Char"/>
    <w:basedOn w:val="1"/>
    <w:autoRedefine/>
    <w:qFormat/>
    <w:uiPriority w:val="0"/>
    <w:pPr>
      <w:widowControl/>
      <w:autoSpaceDE/>
      <w:autoSpaceDN/>
      <w:adjustRightInd/>
      <w:spacing w:after="160" w:line="240" w:lineRule="exact"/>
      <w:jc w:val="center"/>
    </w:pPr>
    <w:rPr>
      <w:rFonts w:ascii="黑体" w:hAnsi="Verdana" w:eastAsia="黑体"/>
      <w:sz w:val="32"/>
      <w:szCs w:val="32"/>
      <w:lang w:eastAsia="en-US"/>
    </w:rPr>
  </w:style>
  <w:style w:type="paragraph" w:customStyle="1" w:styleId="89">
    <w:name w:val="标题4"/>
    <w:basedOn w:val="71"/>
    <w:autoRedefine/>
    <w:qFormat/>
    <w:uiPriority w:val="0"/>
    <w:pPr>
      <w:spacing w:line="540" w:lineRule="exact"/>
      <w:ind w:firstLine="0" w:firstLineChars="0"/>
    </w:pPr>
    <w:rPr>
      <w:rFonts w:hAnsi="Times New Roman"/>
      <w:szCs w:val="24"/>
    </w:rPr>
  </w:style>
  <w:style w:type="paragraph" w:customStyle="1" w:styleId="90">
    <w:name w:val="xl26"/>
    <w:basedOn w:val="1"/>
    <w:autoRedefine/>
    <w:qFormat/>
    <w:uiPriority w:val="0"/>
    <w:pPr>
      <w:widowControl/>
      <w:autoSpaceDE/>
      <w:autoSpaceDN/>
      <w:adjustRightInd/>
      <w:spacing w:before="100" w:beforeAutospacing="1" w:after="100" w:afterAutospacing="1"/>
      <w:jc w:val="center"/>
    </w:pPr>
    <w:rPr>
      <w:rFonts w:hint="eastAsia" w:ascii="仿宋_GB2312" w:hAnsi="宋体" w:eastAsia="仿宋_GB2312"/>
    </w:rPr>
  </w:style>
  <w:style w:type="paragraph" w:customStyle="1" w:styleId="91">
    <w:name w:val="表头"/>
    <w:basedOn w:val="13"/>
    <w:autoRedefine/>
    <w:qFormat/>
    <w:uiPriority w:val="0"/>
    <w:pPr>
      <w:keepNext/>
      <w:keepLines/>
      <w:widowControl/>
      <w:autoSpaceDE/>
      <w:autoSpaceDN/>
      <w:adjustRightInd/>
      <w:spacing w:before="120" w:after="120" w:line="300" w:lineRule="auto"/>
      <w:jc w:val="center"/>
      <w:textAlignment w:val="baseline"/>
    </w:pPr>
    <w:rPr>
      <w:rFonts w:cs="Times New Roman"/>
      <w:sz w:val="21"/>
    </w:rPr>
  </w:style>
  <w:style w:type="paragraph" w:customStyle="1" w:styleId="92">
    <w:name w:val="Char1 Char Char Char Char Char Char"/>
    <w:basedOn w:val="1"/>
    <w:autoRedefine/>
    <w:qFormat/>
    <w:uiPriority w:val="0"/>
    <w:pPr>
      <w:widowControl/>
      <w:autoSpaceDE/>
      <w:autoSpaceDN/>
      <w:adjustRightInd/>
      <w:spacing w:line="400" w:lineRule="exact"/>
      <w:jc w:val="center"/>
    </w:pPr>
    <w:rPr>
      <w:rFonts w:ascii="Verdana" w:hAnsi="Verdana"/>
      <w:sz w:val="21"/>
      <w:szCs w:val="20"/>
      <w:lang w:eastAsia="en-US"/>
    </w:rPr>
  </w:style>
  <w:style w:type="paragraph" w:customStyle="1" w:styleId="93">
    <w:name w:val="正文缩进4格"/>
    <w:basedOn w:val="71"/>
    <w:autoRedefine/>
    <w:qFormat/>
    <w:uiPriority w:val="0"/>
    <w:pPr>
      <w:ind w:left="651" w:leftChars="310" w:firstLine="608" w:firstLineChars="196"/>
    </w:pPr>
    <w:rPr>
      <w:color w:val="000000"/>
    </w:rPr>
  </w:style>
  <w:style w:type="paragraph" w:customStyle="1" w:styleId="94">
    <w:name w:val="DAS正文"/>
    <w:basedOn w:val="1"/>
    <w:autoRedefine/>
    <w:qFormat/>
    <w:uiPriority w:val="0"/>
    <w:pPr>
      <w:autoSpaceDE/>
      <w:autoSpaceDN/>
      <w:adjustRightInd/>
      <w:spacing w:line="360" w:lineRule="exact"/>
      <w:jc w:val="both"/>
    </w:pPr>
    <w:rPr>
      <w:rFonts w:ascii="Verdana" w:hAnsi="Verdana"/>
      <w:kern w:val="2"/>
      <w:sz w:val="21"/>
      <w:szCs w:val="21"/>
    </w:rPr>
  </w:style>
  <w:style w:type="paragraph" w:customStyle="1" w:styleId="95">
    <w:name w:val="普通 (Web)"/>
    <w:basedOn w:val="1"/>
    <w:autoRedefine/>
    <w:qFormat/>
    <w:uiPriority w:val="0"/>
    <w:pPr>
      <w:widowControl/>
      <w:autoSpaceDE/>
      <w:autoSpaceDN/>
      <w:adjustRightInd/>
      <w:spacing w:before="100" w:beforeAutospacing="1" w:after="100" w:afterAutospacing="1"/>
    </w:pPr>
    <w:rPr>
      <w:rFonts w:hAnsi="宋体"/>
    </w:rPr>
  </w:style>
  <w:style w:type="paragraph" w:customStyle="1" w:styleId="96">
    <w:name w:val="投标文件格式"/>
    <w:basedOn w:val="26"/>
    <w:autoRedefine/>
    <w:qFormat/>
    <w:uiPriority w:val="0"/>
    <w:pPr>
      <w:jc w:val="center"/>
    </w:pPr>
    <w:rPr>
      <w:rFonts w:hAnsi="Times New Roman"/>
      <w:b/>
    </w:rPr>
  </w:style>
  <w:style w:type="paragraph" w:customStyle="1" w:styleId="97">
    <w:name w:val="Char2"/>
    <w:basedOn w:val="1"/>
    <w:autoRedefine/>
    <w:qFormat/>
    <w:uiPriority w:val="0"/>
    <w:pPr>
      <w:widowControl/>
      <w:autoSpaceDE/>
      <w:autoSpaceDN/>
      <w:adjustRightInd/>
      <w:spacing w:after="160" w:line="240" w:lineRule="exact"/>
    </w:pPr>
    <w:rPr>
      <w:rFonts w:ascii="Verdana" w:hAnsi="Verdana" w:eastAsia="仿宋_GB2312"/>
      <w:szCs w:val="20"/>
      <w:lang w:eastAsia="en-US"/>
    </w:rPr>
  </w:style>
  <w:style w:type="paragraph" w:customStyle="1" w:styleId="98">
    <w:name w:val="font5"/>
    <w:basedOn w:val="1"/>
    <w:autoRedefine/>
    <w:qFormat/>
    <w:uiPriority w:val="0"/>
    <w:pPr>
      <w:widowControl/>
      <w:autoSpaceDE/>
      <w:autoSpaceDN/>
      <w:adjustRightInd/>
      <w:spacing w:before="100" w:beforeAutospacing="1" w:after="100" w:afterAutospacing="1"/>
    </w:pPr>
    <w:rPr>
      <w:rFonts w:hint="eastAsia" w:hAnsi="宋体"/>
      <w:sz w:val="18"/>
      <w:szCs w:val="20"/>
    </w:rPr>
  </w:style>
  <w:style w:type="paragraph" w:customStyle="1" w:styleId="99">
    <w:name w:val="默认段落字体 Para Char"/>
    <w:basedOn w:val="1"/>
    <w:autoRedefine/>
    <w:qFormat/>
    <w:uiPriority w:val="0"/>
    <w:pPr>
      <w:autoSpaceDE/>
      <w:autoSpaceDN/>
      <w:spacing w:line="360" w:lineRule="auto"/>
      <w:jc w:val="both"/>
    </w:pPr>
    <w:rPr>
      <w:rFonts w:ascii="Times New Roman"/>
      <w:szCs w:val="20"/>
    </w:rPr>
  </w:style>
  <w:style w:type="paragraph" w:customStyle="1" w:styleId="100">
    <w:name w:val="表正文"/>
    <w:basedOn w:val="1"/>
    <w:next w:val="23"/>
    <w:autoRedefine/>
    <w:qFormat/>
    <w:uiPriority w:val="0"/>
    <w:pPr>
      <w:autoSpaceDE/>
      <w:autoSpaceDN/>
      <w:adjustRightInd/>
      <w:spacing w:line="360" w:lineRule="auto"/>
      <w:ind w:left="180" w:leftChars="85" w:right="2" w:hanging="2"/>
      <w:jc w:val="both"/>
    </w:pPr>
    <w:rPr>
      <w:rFonts w:ascii="Arial" w:hAnsi="Arial"/>
      <w:kern w:val="2"/>
      <w:sz w:val="21"/>
      <w:szCs w:val="20"/>
    </w:rPr>
  </w:style>
  <w:style w:type="paragraph" w:customStyle="1" w:styleId="101">
    <w:name w:val="日期右"/>
    <w:basedOn w:val="28"/>
    <w:autoRedefine/>
    <w:qFormat/>
    <w:uiPriority w:val="0"/>
    <w:pPr>
      <w:autoSpaceDE/>
      <w:autoSpaceDN/>
      <w:adjustRightInd/>
      <w:spacing w:line="600" w:lineRule="exact"/>
      <w:ind w:left="0" w:leftChars="0"/>
      <w:jc w:val="right"/>
    </w:pPr>
    <w:rPr>
      <w:rFonts w:ascii="Times New Roman" w:eastAsia="仿宋_GB2312"/>
      <w:b w:val="0"/>
      <w:bCs w:val="0"/>
      <w:sz w:val="31"/>
      <w:szCs w:val="24"/>
      <w:lang w:val="en-US"/>
    </w:rPr>
  </w:style>
  <w:style w:type="paragraph" w:customStyle="1" w:styleId="102">
    <w:name w:val="标题 3.1"/>
    <w:basedOn w:val="4"/>
    <w:link w:val="103"/>
    <w:autoRedefine/>
    <w:qFormat/>
    <w:uiPriority w:val="0"/>
    <w:pPr>
      <w:keepNext/>
      <w:keepLines/>
      <w:tabs>
        <w:tab w:val="left" w:pos="1440"/>
        <w:tab w:val="left" w:pos="1620"/>
      </w:tabs>
      <w:autoSpaceDE/>
      <w:autoSpaceDN/>
      <w:adjustRightInd/>
      <w:spacing w:before="260" w:after="260" w:line="600" w:lineRule="exact"/>
      <w:jc w:val="both"/>
    </w:pPr>
    <w:rPr>
      <w:rFonts w:hAnsi="宋体"/>
      <w:b/>
      <w:bCs/>
      <w:kern w:val="2"/>
      <w:sz w:val="32"/>
      <w:szCs w:val="32"/>
    </w:rPr>
  </w:style>
  <w:style w:type="character" w:customStyle="1" w:styleId="103">
    <w:name w:val="标题 3.1 Char"/>
    <w:link w:val="102"/>
    <w:autoRedefine/>
    <w:qFormat/>
    <w:uiPriority w:val="0"/>
    <w:rPr>
      <w:rFonts w:ascii="宋体" w:hAnsi="宋体"/>
      <w:b/>
      <w:bCs/>
      <w:kern w:val="2"/>
      <w:sz w:val="32"/>
      <w:szCs w:val="32"/>
    </w:rPr>
  </w:style>
  <w:style w:type="paragraph" w:customStyle="1" w:styleId="104">
    <w:name w:val="正文缩进6格"/>
    <w:basedOn w:val="93"/>
    <w:autoRedefine/>
    <w:qFormat/>
    <w:uiPriority w:val="0"/>
    <w:pPr>
      <w:ind w:left="1758" w:leftChars="854"/>
    </w:pPr>
  </w:style>
  <w:style w:type="paragraph" w:customStyle="1" w:styleId="105">
    <w:name w:val="正文无缩进"/>
    <w:basedOn w:val="71"/>
    <w:autoRedefine/>
    <w:qFormat/>
    <w:uiPriority w:val="0"/>
    <w:pPr>
      <w:ind w:firstLine="0" w:firstLineChars="0"/>
    </w:pPr>
  </w:style>
  <w:style w:type="paragraph" w:customStyle="1" w:styleId="106">
    <w:name w:val="标题 3.5"/>
    <w:basedOn w:val="4"/>
    <w:autoRedefine/>
    <w:qFormat/>
    <w:uiPriority w:val="0"/>
    <w:pPr>
      <w:autoSpaceDE/>
      <w:autoSpaceDN/>
      <w:adjustRightInd/>
      <w:spacing w:line="600" w:lineRule="exact"/>
      <w:jc w:val="both"/>
      <w:outlineLvl w:val="9"/>
    </w:pPr>
    <w:rPr>
      <w:rFonts w:ascii="Times New Roman" w:eastAsia="仿宋_GB2312"/>
      <w:kern w:val="2"/>
      <w:sz w:val="31"/>
    </w:rPr>
  </w:style>
  <w:style w:type="paragraph" w:customStyle="1" w:styleId="107">
    <w:name w:val="Char Char1"/>
    <w:basedOn w:val="1"/>
    <w:autoRedefine/>
    <w:qFormat/>
    <w:uiPriority w:val="0"/>
    <w:pPr>
      <w:widowControl/>
      <w:autoSpaceDE/>
      <w:autoSpaceDN/>
      <w:adjustRightInd/>
      <w:spacing w:after="160" w:line="240" w:lineRule="exact"/>
    </w:pPr>
    <w:rPr>
      <w:rFonts w:ascii="Verdana" w:hAnsi="Verdana" w:eastAsia="楷体_GB2312"/>
      <w:b/>
      <w:i/>
      <w:iCs/>
      <w:color w:val="000000"/>
      <w:sz w:val="20"/>
      <w:szCs w:val="20"/>
      <w:lang w:eastAsia="en-US"/>
    </w:rPr>
  </w:style>
  <w:style w:type="paragraph" w:customStyle="1" w:styleId="108">
    <w:name w:val="Char Char Char Char"/>
    <w:basedOn w:val="1"/>
    <w:autoRedefine/>
    <w:qFormat/>
    <w:uiPriority w:val="0"/>
    <w:pPr>
      <w:widowControl/>
      <w:autoSpaceDE/>
      <w:autoSpaceDN/>
      <w:adjustRightInd/>
      <w:spacing w:after="160" w:line="240" w:lineRule="exact"/>
    </w:pPr>
    <w:rPr>
      <w:rFonts w:ascii="Verdana" w:hAnsi="Verdana" w:eastAsia="仿宋_GB2312"/>
      <w:szCs w:val="20"/>
      <w:lang w:eastAsia="en-US"/>
    </w:rPr>
  </w:style>
  <w:style w:type="paragraph" w:customStyle="1" w:styleId="109">
    <w:name w:val="进度表"/>
    <w:basedOn w:val="12"/>
    <w:autoRedefine/>
    <w:qFormat/>
    <w:uiPriority w:val="0"/>
    <w:pPr>
      <w:widowControl w:val="0"/>
      <w:snapToGrid w:val="0"/>
      <w:spacing w:line="440" w:lineRule="atLeast"/>
      <w:ind w:hanging="130" w:firstLineChars="0"/>
      <w:jc w:val="both"/>
    </w:pPr>
    <w:rPr>
      <w:rFonts w:ascii="宋体"/>
      <w:color w:val="000000"/>
      <w:kern w:val="2"/>
      <w:position w:val="-6"/>
      <w:sz w:val="28"/>
    </w:rPr>
  </w:style>
  <w:style w:type="paragraph" w:customStyle="1" w:styleId="110">
    <w:name w:val="Char Char Char Char Char Char"/>
    <w:basedOn w:val="1"/>
    <w:autoRedefine/>
    <w:qFormat/>
    <w:uiPriority w:val="0"/>
    <w:pPr>
      <w:widowControl/>
      <w:autoSpaceDE/>
      <w:autoSpaceDN/>
      <w:adjustRightInd/>
      <w:spacing w:after="160" w:line="240" w:lineRule="exact"/>
    </w:pPr>
    <w:rPr>
      <w:rFonts w:ascii="Times New Roman"/>
      <w:kern w:val="2"/>
      <w:lang w:eastAsia="en-US"/>
    </w:rPr>
  </w:style>
  <w:style w:type="paragraph" w:customStyle="1" w:styleId="111">
    <w:name w:val="Char3"/>
    <w:basedOn w:val="1"/>
    <w:autoRedefine/>
    <w:qFormat/>
    <w:uiPriority w:val="0"/>
    <w:pPr>
      <w:widowControl/>
      <w:autoSpaceDE/>
      <w:autoSpaceDN/>
      <w:adjustRightInd/>
      <w:spacing w:line="400" w:lineRule="exact"/>
      <w:jc w:val="center"/>
    </w:pPr>
    <w:rPr>
      <w:rFonts w:ascii="Times New Roman"/>
      <w:sz w:val="21"/>
      <w:szCs w:val="20"/>
    </w:rPr>
  </w:style>
  <w:style w:type="paragraph" w:customStyle="1" w:styleId="112">
    <w:name w:val="列表正文"/>
    <w:basedOn w:val="1"/>
    <w:autoRedefine/>
    <w:qFormat/>
    <w:uiPriority w:val="0"/>
    <w:pPr>
      <w:autoSpaceDE/>
      <w:autoSpaceDN/>
      <w:snapToGrid w:val="0"/>
      <w:spacing w:line="300" w:lineRule="auto"/>
      <w:ind w:left="200" w:leftChars="200" w:firstLine="200" w:firstLineChars="200"/>
      <w:jc w:val="both"/>
    </w:pPr>
    <w:rPr>
      <w:rFonts w:ascii="Times New Roman"/>
      <w:kern w:val="2"/>
      <w:sz w:val="21"/>
    </w:rPr>
  </w:style>
  <w:style w:type="paragraph" w:customStyle="1" w:styleId="113">
    <w:name w:val="Bullet"/>
    <w:basedOn w:val="1"/>
    <w:autoRedefine/>
    <w:qFormat/>
    <w:uiPriority w:val="0"/>
    <w:pPr>
      <w:numPr>
        <w:ilvl w:val="0"/>
        <w:numId w:val="4"/>
      </w:numPr>
      <w:autoSpaceDE/>
      <w:autoSpaceDN/>
      <w:adjustRightInd/>
      <w:spacing w:line="360" w:lineRule="exact"/>
      <w:jc w:val="both"/>
    </w:pPr>
    <w:rPr>
      <w:rFonts w:ascii="Times New Roman"/>
      <w:kern w:val="2"/>
      <w:szCs w:val="20"/>
    </w:rPr>
  </w:style>
  <w:style w:type="paragraph" w:customStyle="1" w:styleId="114">
    <w:name w:val="Char1 Char Char Char"/>
    <w:basedOn w:val="1"/>
    <w:autoRedefine/>
    <w:qFormat/>
    <w:uiPriority w:val="0"/>
    <w:pPr>
      <w:autoSpaceDE/>
      <w:autoSpaceDN/>
      <w:adjustRightInd/>
      <w:jc w:val="both"/>
    </w:pPr>
    <w:rPr>
      <w:rFonts w:ascii="Tahoma" w:hAnsi="Tahoma"/>
      <w:kern w:val="2"/>
      <w:szCs w:val="20"/>
    </w:rPr>
  </w:style>
  <w:style w:type="paragraph" w:customStyle="1" w:styleId="115">
    <w:name w:val="技术响应2"/>
    <w:basedOn w:val="1"/>
    <w:autoRedefine/>
    <w:qFormat/>
    <w:uiPriority w:val="0"/>
    <w:pPr>
      <w:numPr>
        <w:ilvl w:val="0"/>
        <w:numId w:val="5"/>
      </w:numPr>
      <w:autoSpaceDE/>
      <w:autoSpaceDN/>
      <w:adjustRightInd/>
      <w:jc w:val="both"/>
    </w:pPr>
    <w:rPr>
      <w:rFonts w:hAnsi="宋体"/>
      <w:b/>
      <w:bCs/>
      <w:kern w:val="2"/>
      <w:sz w:val="21"/>
      <w:szCs w:val="20"/>
    </w:rPr>
  </w:style>
  <w:style w:type="paragraph" w:customStyle="1" w:styleId="116">
    <w:name w:val="需求书2"/>
    <w:basedOn w:val="1"/>
    <w:autoRedefine/>
    <w:qFormat/>
    <w:uiPriority w:val="0"/>
    <w:pPr>
      <w:autoSpaceDE/>
      <w:autoSpaceDN/>
      <w:adjustRightInd/>
      <w:jc w:val="both"/>
    </w:pPr>
    <w:rPr>
      <w:rFonts w:hAnsi="宋体"/>
      <w:spacing w:val="10"/>
      <w:kern w:val="2"/>
      <w:sz w:val="18"/>
      <w:szCs w:val="20"/>
    </w:rPr>
  </w:style>
  <w:style w:type="paragraph" w:customStyle="1" w:styleId="117">
    <w:name w:val="技术响应1"/>
    <w:basedOn w:val="1"/>
    <w:autoRedefine/>
    <w:qFormat/>
    <w:uiPriority w:val="0"/>
    <w:pPr>
      <w:widowControl/>
      <w:autoSpaceDE/>
      <w:autoSpaceDN/>
      <w:adjustRightInd/>
      <w:spacing w:line="360" w:lineRule="auto"/>
      <w:ind w:firstLine="588"/>
      <w:jc w:val="center"/>
    </w:pPr>
    <w:rPr>
      <w:b/>
      <w:sz w:val="28"/>
      <w:szCs w:val="20"/>
    </w:rPr>
  </w:style>
  <w:style w:type="paragraph" w:customStyle="1" w:styleId="118">
    <w:name w:val="目录"/>
    <w:basedOn w:val="1"/>
    <w:autoRedefine/>
    <w:qFormat/>
    <w:uiPriority w:val="0"/>
    <w:pPr>
      <w:widowControl/>
      <w:autoSpaceDE/>
      <w:autoSpaceDN/>
      <w:adjustRightInd/>
      <w:spacing w:line="480" w:lineRule="auto"/>
      <w:jc w:val="center"/>
    </w:pPr>
    <w:rPr>
      <w:b/>
      <w:szCs w:val="20"/>
    </w:rPr>
  </w:style>
  <w:style w:type="paragraph" w:customStyle="1" w:styleId="119">
    <w:name w:val="正文（缩进）"/>
    <w:basedOn w:val="1"/>
    <w:autoRedefine/>
    <w:qFormat/>
    <w:uiPriority w:val="0"/>
    <w:pPr>
      <w:autoSpaceDE/>
      <w:autoSpaceDN/>
      <w:adjustRightInd/>
      <w:spacing w:before="156" w:beforeLines="50" w:after="156" w:afterLines="50" w:line="360" w:lineRule="auto"/>
      <w:ind w:firstLine="480" w:firstLineChars="200"/>
      <w:jc w:val="both"/>
    </w:pPr>
    <w:rPr>
      <w:rFonts w:ascii="Times New Roman"/>
      <w:kern w:val="2"/>
    </w:rPr>
  </w:style>
  <w:style w:type="paragraph" w:customStyle="1" w:styleId="120">
    <w:name w:val="xl35"/>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FFFF99"/>
      <w:autoSpaceDE/>
      <w:autoSpaceDN/>
      <w:adjustRightInd/>
      <w:spacing w:before="100" w:beforeAutospacing="1" w:after="100" w:afterAutospacing="1"/>
      <w:jc w:val="center"/>
      <w:textAlignment w:val="center"/>
    </w:pPr>
    <w:rPr>
      <w:rFonts w:ascii="Arial Unicode MS" w:hAnsi="Arial Unicode MS" w:eastAsia="Arial Unicode MS"/>
      <w:sz w:val="20"/>
      <w:szCs w:val="20"/>
    </w:rPr>
  </w:style>
  <w:style w:type="paragraph" w:customStyle="1" w:styleId="121">
    <w:name w:val="Char Char Char Char Char"/>
    <w:basedOn w:val="1"/>
    <w:autoRedefine/>
    <w:qFormat/>
    <w:uiPriority w:val="0"/>
    <w:pPr>
      <w:widowControl/>
      <w:autoSpaceDE/>
      <w:autoSpaceDN/>
      <w:adjustRightInd/>
      <w:spacing w:after="160" w:line="240" w:lineRule="exact"/>
      <w:jc w:val="center"/>
    </w:pPr>
    <w:rPr>
      <w:rFonts w:ascii="黑体" w:hAnsi="Verdana" w:eastAsia="黑体"/>
      <w:sz w:val="32"/>
      <w:szCs w:val="32"/>
      <w:lang w:eastAsia="en-US"/>
    </w:rPr>
  </w:style>
  <w:style w:type="paragraph" w:styleId="122">
    <w:name w:val="No Spacing"/>
    <w:autoRedefine/>
    <w:qFormat/>
    <w:uiPriority w:val="99"/>
    <w:pPr>
      <w:widowControl w:val="0"/>
      <w:jc w:val="both"/>
    </w:pPr>
    <w:rPr>
      <w:rFonts w:ascii="Times New Roman" w:hAnsi="Times New Roman" w:eastAsia="宋体" w:cs="Times New Roman"/>
      <w:kern w:val="2"/>
      <w:sz w:val="21"/>
      <w:szCs w:val="24"/>
      <w:lang w:val="en-US" w:eastAsia="zh-CN" w:bidi="ar-SA"/>
    </w:rPr>
  </w:style>
  <w:style w:type="paragraph" w:customStyle="1" w:styleId="123">
    <w:name w:val="Char Char Char Char1"/>
    <w:basedOn w:val="3"/>
    <w:autoRedefine/>
    <w:qFormat/>
    <w:uiPriority w:val="0"/>
    <w:pPr>
      <w:keepNext/>
      <w:keepLines/>
      <w:pageBreakBefore/>
      <w:widowControl/>
      <w:numPr>
        <w:ilvl w:val="1"/>
        <w:numId w:val="6"/>
      </w:numPr>
      <w:autoSpaceDE/>
      <w:autoSpaceDN/>
      <w:adjustRightInd/>
      <w:spacing w:before="180" w:after="160" w:line="240" w:lineRule="exact"/>
    </w:pPr>
    <w:rPr>
      <w:rFonts w:ascii="Verdana" w:hAnsi="Verdana" w:eastAsia="黑体"/>
      <w:bCs/>
      <w:sz w:val="32"/>
      <w:szCs w:val="32"/>
      <w:lang w:eastAsia="en-US"/>
    </w:rPr>
  </w:style>
  <w:style w:type="paragraph" w:customStyle="1" w:styleId="124">
    <w:name w:val="Char Char Char Char Char Char1 Char"/>
    <w:basedOn w:val="1"/>
    <w:autoRedefine/>
    <w:qFormat/>
    <w:uiPriority w:val="0"/>
    <w:pPr>
      <w:widowControl/>
      <w:autoSpaceDE/>
      <w:autoSpaceDN/>
      <w:adjustRightInd/>
      <w:spacing w:after="160" w:line="240" w:lineRule="exact"/>
    </w:pPr>
    <w:rPr>
      <w:rFonts w:ascii="Arial" w:hAnsi="Arial" w:eastAsia="楷体_GB2312" w:cs="Verdana"/>
      <w:b/>
      <w:lang w:eastAsia="en-US"/>
    </w:rPr>
  </w:style>
  <w:style w:type="paragraph" w:customStyle="1" w:styleId="125">
    <w:name w:val="Char Char11"/>
    <w:basedOn w:val="1"/>
    <w:autoRedefine/>
    <w:qFormat/>
    <w:uiPriority w:val="0"/>
    <w:pPr>
      <w:widowControl/>
      <w:autoSpaceDE/>
      <w:autoSpaceDN/>
      <w:adjustRightInd/>
      <w:spacing w:after="160" w:line="240" w:lineRule="exact"/>
    </w:pPr>
    <w:rPr>
      <w:rFonts w:ascii="Verdana" w:hAnsi="Verdana" w:eastAsia="楷体_GB2312"/>
      <w:b/>
      <w:i/>
      <w:iCs/>
      <w:color w:val="000000"/>
      <w:sz w:val="20"/>
      <w:szCs w:val="20"/>
      <w:lang w:eastAsia="en-US"/>
    </w:rPr>
  </w:style>
  <w:style w:type="paragraph" w:customStyle="1" w:styleId="126">
    <w:name w:val="表格栏头"/>
    <w:basedOn w:val="127"/>
    <w:next w:val="127"/>
    <w:autoRedefine/>
    <w:qFormat/>
    <w:uiPriority w:val="0"/>
    <w:rPr>
      <w:b/>
    </w:rPr>
  </w:style>
  <w:style w:type="paragraph" w:customStyle="1" w:styleId="127">
    <w:name w:val="表格正文"/>
    <w:basedOn w:val="1"/>
    <w:autoRedefine/>
    <w:qFormat/>
    <w:uiPriority w:val="0"/>
    <w:pPr>
      <w:widowControl/>
      <w:overflowPunct w:val="0"/>
      <w:spacing w:before="312" w:after="312" w:line="360" w:lineRule="auto"/>
      <w:textAlignment w:val="baseline"/>
    </w:pPr>
    <w:rPr>
      <w:rFonts w:hAnsi="Tahoma"/>
      <w:szCs w:val="20"/>
    </w:rPr>
  </w:style>
  <w:style w:type="paragraph" w:customStyle="1" w:styleId="128">
    <w:name w:val="xl34"/>
    <w:basedOn w:val="1"/>
    <w:autoRedefine/>
    <w:qFormat/>
    <w:uiPriority w:val="0"/>
    <w:pPr>
      <w:widowControl/>
      <w:pBdr>
        <w:top w:val="single" w:color="auto" w:sz="4" w:space="0"/>
        <w:left w:val="single" w:color="auto" w:sz="4" w:space="0"/>
        <w:bottom w:val="single" w:color="auto" w:sz="4" w:space="0"/>
        <w:right w:val="single" w:color="auto" w:sz="4" w:space="0"/>
      </w:pBdr>
      <w:autoSpaceDE/>
      <w:autoSpaceDN/>
      <w:adjustRightInd/>
      <w:spacing w:before="100" w:beforeAutospacing="1" w:after="100" w:afterAutospacing="1"/>
      <w:jc w:val="center"/>
    </w:pPr>
    <w:rPr>
      <w:rFonts w:hAnsi="宋体"/>
    </w:rPr>
  </w:style>
  <w:style w:type="paragraph" w:customStyle="1" w:styleId="129">
    <w:name w:val="1"/>
    <w:basedOn w:val="1"/>
    <w:autoRedefine/>
    <w:qFormat/>
    <w:uiPriority w:val="0"/>
    <w:pPr>
      <w:widowControl/>
      <w:autoSpaceDE/>
      <w:autoSpaceDN/>
      <w:adjustRightInd/>
      <w:spacing w:after="160" w:line="240" w:lineRule="exact"/>
    </w:pPr>
    <w:rPr>
      <w:rFonts w:ascii="Verdana" w:hAnsi="Verdana" w:eastAsia="楷体_GB2312"/>
      <w:b/>
      <w:i/>
      <w:iCs/>
      <w:color w:val="000000"/>
      <w:sz w:val="20"/>
      <w:szCs w:val="20"/>
      <w:lang w:eastAsia="en-US"/>
    </w:rPr>
  </w:style>
  <w:style w:type="paragraph" w:customStyle="1" w:styleId="130">
    <w:name w:val="Char Char2 Char"/>
    <w:basedOn w:val="1"/>
    <w:autoRedefine/>
    <w:qFormat/>
    <w:uiPriority w:val="0"/>
    <w:pPr>
      <w:autoSpaceDE/>
      <w:autoSpaceDN/>
      <w:adjustRightInd/>
      <w:jc w:val="both"/>
    </w:pPr>
    <w:rPr>
      <w:rFonts w:hAnsi="宋体"/>
      <w:b/>
      <w:kern w:val="2"/>
      <w:sz w:val="28"/>
      <w:szCs w:val="28"/>
    </w:rPr>
  </w:style>
  <w:style w:type="paragraph" w:customStyle="1" w:styleId="131">
    <w:name w:val="表格文字"/>
    <w:basedOn w:val="1"/>
    <w:autoRedefine/>
    <w:qFormat/>
    <w:uiPriority w:val="0"/>
    <w:pPr>
      <w:autoSpaceDE/>
      <w:autoSpaceDN/>
      <w:adjustRightInd/>
      <w:spacing w:before="25" w:after="25"/>
    </w:pPr>
    <w:rPr>
      <w:rFonts w:ascii="Times New Roman"/>
      <w:bCs/>
      <w:spacing w:val="10"/>
      <w:szCs w:val="20"/>
    </w:rPr>
  </w:style>
  <w:style w:type="paragraph" w:customStyle="1" w:styleId="132">
    <w:name w:val="xl38"/>
    <w:basedOn w:val="1"/>
    <w:autoRedefine/>
    <w:qFormat/>
    <w:uiPriority w:val="0"/>
    <w:pPr>
      <w:widowControl/>
      <w:pBdr>
        <w:bottom w:val="single" w:color="auto" w:sz="4" w:space="0"/>
      </w:pBdr>
      <w:autoSpaceDE/>
      <w:autoSpaceDN/>
      <w:adjustRightInd/>
      <w:spacing w:before="100" w:beforeAutospacing="1" w:after="100" w:afterAutospacing="1"/>
      <w:jc w:val="center"/>
      <w:textAlignment w:val="center"/>
    </w:pPr>
    <w:rPr>
      <w:rFonts w:ascii="Arial Unicode MS" w:hAnsi="Arial Unicode MS" w:eastAsia="Arial Unicode MS"/>
      <w:b/>
      <w:sz w:val="36"/>
      <w:szCs w:val="20"/>
    </w:rPr>
  </w:style>
  <w:style w:type="paragraph" w:customStyle="1" w:styleId="133">
    <w:name w:val="xl25"/>
    <w:basedOn w:val="1"/>
    <w:autoRedefine/>
    <w:qFormat/>
    <w:uiPriority w:val="0"/>
    <w:pPr>
      <w:widowControl/>
      <w:pBdr>
        <w:bottom w:val="single" w:color="auto" w:sz="4" w:space="0"/>
        <w:right w:val="single" w:color="auto" w:sz="4" w:space="0"/>
      </w:pBdr>
      <w:autoSpaceDE/>
      <w:autoSpaceDN/>
      <w:adjustRightInd/>
      <w:spacing w:before="100" w:beforeAutospacing="1" w:after="100" w:afterAutospacing="1"/>
      <w:jc w:val="center"/>
    </w:pPr>
    <w:rPr>
      <w:rFonts w:hAnsi="宋体"/>
      <w:sz w:val="21"/>
      <w:szCs w:val="21"/>
    </w:rPr>
  </w:style>
  <w:style w:type="paragraph" w:customStyle="1" w:styleId="134">
    <w:name w:val="题注4"/>
    <w:basedOn w:val="1"/>
    <w:next w:val="13"/>
    <w:autoRedefine/>
    <w:qFormat/>
    <w:uiPriority w:val="0"/>
    <w:pPr>
      <w:autoSpaceDE/>
      <w:autoSpaceDN/>
      <w:adjustRightInd/>
      <w:ind w:left="-132" w:leftChars="-64" w:right="-105" w:rightChars="-50" w:hanging="2"/>
      <w:jc w:val="center"/>
    </w:pPr>
    <w:rPr>
      <w:rFonts w:ascii="Times New Roman"/>
      <w:b/>
      <w:color w:val="FF0000"/>
      <w:kern w:val="2"/>
      <w:sz w:val="21"/>
      <w:szCs w:val="21"/>
      <w:lang w:val="en-GB"/>
    </w:rPr>
  </w:style>
  <w:style w:type="paragraph" w:customStyle="1" w:styleId="135">
    <w:name w:val="3 Char"/>
    <w:basedOn w:val="1"/>
    <w:autoRedefine/>
    <w:qFormat/>
    <w:uiPriority w:val="0"/>
    <w:pPr>
      <w:widowControl/>
      <w:autoSpaceDE/>
      <w:autoSpaceDN/>
      <w:adjustRightInd/>
      <w:spacing w:line="400" w:lineRule="exact"/>
      <w:jc w:val="center"/>
    </w:pPr>
    <w:rPr>
      <w:rFonts w:ascii="Verdana" w:hAnsi="Verdana"/>
      <w:sz w:val="21"/>
      <w:szCs w:val="20"/>
      <w:lang w:eastAsia="en-US"/>
    </w:rPr>
  </w:style>
  <w:style w:type="paragraph" w:customStyle="1" w:styleId="136">
    <w:name w:val="样式 我的标题 + 两端对齐"/>
    <w:basedOn w:val="2"/>
    <w:autoRedefine/>
    <w:qFormat/>
    <w:uiPriority w:val="0"/>
    <w:pPr>
      <w:keepNext/>
      <w:keepLines/>
      <w:autoSpaceDE/>
      <w:autoSpaceDN/>
      <w:adjustRightInd/>
      <w:spacing w:before="340" w:after="330" w:line="578" w:lineRule="auto"/>
      <w:jc w:val="center"/>
    </w:pPr>
    <w:rPr>
      <w:rFonts w:ascii="Times New Roman" w:cs="宋体"/>
      <w:b/>
      <w:bCs/>
      <w:kern w:val="44"/>
      <w:sz w:val="32"/>
      <w:szCs w:val="20"/>
    </w:rPr>
  </w:style>
  <w:style w:type="paragraph" w:styleId="137">
    <w:name w:val="List Paragraph"/>
    <w:basedOn w:val="1"/>
    <w:autoRedefine/>
    <w:qFormat/>
    <w:uiPriority w:val="34"/>
    <w:pPr>
      <w:autoSpaceDE/>
      <w:autoSpaceDN/>
      <w:adjustRightInd/>
      <w:ind w:firstLine="420" w:firstLineChars="200"/>
      <w:jc w:val="both"/>
    </w:pPr>
    <w:rPr>
      <w:rFonts w:ascii="Calibri" w:hAnsi="Calibri"/>
      <w:kern w:val="2"/>
      <w:sz w:val="21"/>
    </w:rPr>
  </w:style>
  <w:style w:type="paragraph" w:customStyle="1" w:styleId="138">
    <w:name w:val="Char Char Char Char Char Char Char Char Char Char Char Char Char"/>
    <w:basedOn w:val="1"/>
    <w:autoRedefine/>
    <w:qFormat/>
    <w:uiPriority w:val="0"/>
    <w:pPr>
      <w:widowControl/>
      <w:autoSpaceDE/>
      <w:autoSpaceDN/>
      <w:adjustRightInd/>
      <w:spacing w:after="160" w:line="240" w:lineRule="exact"/>
    </w:pPr>
    <w:rPr>
      <w:rFonts w:ascii="Times New Roman"/>
      <w:kern w:val="2"/>
      <w:sz w:val="21"/>
    </w:rPr>
  </w:style>
  <w:style w:type="paragraph" w:customStyle="1" w:styleId="139">
    <w:name w:val="xl37"/>
    <w:basedOn w:val="1"/>
    <w:autoRedefine/>
    <w:qFormat/>
    <w:uiPriority w:val="0"/>
    <w:pPr>
      <w:widowControl/>
      <w:pBdr>
        <w:top w:val="single" w:color="auto" w:sz="4" w:space="0"/>
        <w:bottom w:val="single" w:color="auto" w:sz="4" w:space="0"/>
        <w:right w:val="single" w:color="auto" w:sz="4" w:space="0"/>
      </w:pBdr>
      <w:autoSpaceDE/>
      <w:autoSpaceDN/>
      <w:adjustRightInd/>
      <w:spacing w:before="100" w:beforeAutospacing="1" w:after="100" w:afterAutospacing="1"/>
      <w:textAlignment w:val="center"/>
    </w:pPr>
    <w:rPr>
      <w:rFonts w:ascii="Arial Unicode MS" w:hAnsi="Arial Unicode MS" w:eastAsia="Arial Unicode MS"/>
      <w:sz w:val="20"/>
      <w:szCs w:val="20"/>
    </w:rPr>
  </w:style>
  <w:style w:type="paragraph" w:customStyle="1" w:styleId="140">
    <w:name w:val="xl36"/>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0C0C0"/>
      <w:autoSpaceDE/>
      <w:autoSpaceDN/>
      <w:adjustRightInd/>
      <w:spacing w:before="100" w:beforeAutospacing="1" w:after="100" w:afterAutospacing="1"/>
      <w:jc w:val="center"/>
      <w:textAlignment w:val="center"/>
    </w:pPr>
    <w:rPr>
      <w:rFonts w:ascii="Arial Unicode MS" w:hAnsi="Arial Unicode MS" w:eastAsia="Arial Unicode MS"/>
      <w:b/>
      <w:sz w:val="20"/>
      <w:szCs w:val="20"/>
    </w:rPr>
  </w:style>
  <w:style w:type="paragraph" w:customStyle="1" w:styleId="141">
    <w:name w:val="xl39"/>
    <w:basedOn w:val="1"/>
    <w:autoRedefine/>
    <w:qFormat/>
    <w:uiPriority w:val="0"/>
    <w:pPr>
      <w:widowControl/>
      <w:autoSpaceDE/>
      <w:autoSpaceDN/>
      <w:adjustRightInd/>
      <w:spacing w:before="100" w:beforeAutospacing="1" w:after="100" w:afterAutospacing="1"/>
    </w:pPr>
    <w:rPr>
      <w:rFonts w:ascii="Arial Unicode MS" w:hAnsi="Arial Unicode MS" w:eastAsia="Arial Unicode MS"/>
      <w:sz w:val="20"/>
      <w:szCs w:val="20"/>
    </w:rPr>
  </w:style>
  <w:style w:type="paragraph" w:customStyle="1" w:styleId="142">
    <w:name w:val="正文列表"/>
    <w:basedOn w:val="1"/>
    <w:autoRedefine/>
    <w:qFormat/>
    <w:uiPriority w:val="0"/>
    <w:pPr>
      <w:jc w:val="center"/>
      <w:textAlignment w:val="baseline"/>
    </w:pPr>
    <w:rPr>
      <w:rFonts w:hAnsi="宋体"/>
      <w:szCs w:val="20"/>
    </w:rPr>
  </w:style>
  <w:style w:type="paragraph" w:customStyle="1" w:styleId="143">
    <w:name w:val="普通(Web)"/>
    <w:basedOn w:val="1"/>
    <w:autoRedefine/>
    <w:qFormat/>
    <w:uiPriority w:val="0"/>
    <w:pPr>
      <w:widowControl/>
      <w:autoSpaceDE/>
      <w:autoSpaceDN/>
      <w:adjustRightInd/>
      <w:spacing w:before="100" w:beforeAutospacing="1" w:after="100" w:afterAutospacing="1" w:line="240" w:lineRule="atLeast"/>
      <w:ind w:firstLine="360"/>
    </w:pPr>
    <w:rPr>
      <w:rFonts w:hAnsi="宋体"/>
      <w:sz w:val="18"/>
      <w:szCs w:val="20"/>
    </w:rPr>
  </w:style>
  <w:style w:type="paragraph" w:customStyle="1" w:styleId="144">
    <w:name w:val="信息标题2"/>
    <w:basedOn w:val="13"/>
    <w:next w:val="13"/>
    <w:autoRedefine/>
    <w:qFormat/>
    <w:uiPriority w:val="0"/>
    <w:pPr>
      <w:autoSpaceDE/>
      <w:autoSpaceDN/>
      <w:adjustRightInd/>
      <w:spacing w:before="156" w:beforeLines="50" w:after="156" w:afterLines="50"/>
      <w:ind w:left="422" w:hanging="422" w:hangingChars="200"/>
    </w:pPr>
    <w:rPr>
      <w:rFonts w:ascii="Arial Black" w:hAnsi="Arial Black" w:eastAsia="宋体" w:cs="Times New Roman"/>
      <w:b/>
      <w:kern w:val="2"/>
      <w:sz w:val="30"/>
    </w:rPr>
  </w:style>
  <w:style w:type="paragraph" w:customStyle="1" w:styleId="145">
    <w:name w:val="xl29"/>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C99FF"/>
      <w:autoSpaceDE/>
      <w:autoSpaceDN/>
      <w:adjustRightInd/>
      <w:spacing w:before="100" w:beforeAutospacing="1" w:after="100" w:afterAutospacing="1"/>
      <w:jc w:val="center"/>
      <w:textAlignment w:val="center"/>
    </w:pPr>
    <w:rPr>
      <w:rFonts w:ascii="Arial Unicode MS" w:hAnsi="Arial Unicode MS" w:eastAsia="Arial Unicode MS"/>
      <w:sz w:val="20"/>
      <w:szCs w:val="20"/>
    </w:rPr>
  </w:style>
  <w:style w:type="paragraph" w:customStyle="1" w:styleId="146">
    <w:name w:val="xl31"/>
    <w:basedOn w:val="1"/>
    <w:qFormat/>
    <w:uiPriority w:val="0"/>
    <w:pPr>
      <w:widowControl/>
      <w:pBdr>
        <w:top w:val="single" w:color="auto" w:sz="4" w:space="0"/>
        <w:left w:val="single" w:color="auto" w:sz="4" w:space="0"/>
        <w:bottom w:val="single" w:color="auto" w:sz="4" w:space="0"/>
        <w:right w:val="single" w:color="auto" w:sz="4" w:space="0"/>
      </w:pBdr>
      <w:autoSpaceDE/>
      <w:autoSpaceDN/>
      <w:adjustRightInd/>
      <w:spacing w:before="100" w:beforeAutospacing="1" w:after="100" w:afterAutospacing="1"/>
      <w:textAlignment w:val="center"/>
    </w:pPr>
    <w:rPr>
      <w:rFonts w:ascii="Times New Roman" w:eastAsia="Arial Unicode MS"/>
      <w:sz w:val="20"/>
      <w:szCs w:val="20"/>
    </w:rPr>
  </w:style>
  <w:style w:type="paragraph" w:customStyle="1" w:styleId="147">
    <w:name w:val="xl27"/>
    <w:basedOn w:val="1"/>
    <w:autoRedefine/>
    <w:qFormat/>
    <w:uiPriority w:val="0"/>
    <w:pPr>
      <w:widowControl/>
      <w:pBdr>
        <w:top w:val="single" w:color="auto" w:sz="4" w:space="0"/>
        <w:left w:val="single" w:color="auto" w:sz="4" w:space="0"/>
        <w:bottom w:val="single" w:color="auto" w:sz="4" w:space="0"/>
        <w:right w:val="single" w:color="auto" w:sz="4" w:space="0"/>
      </w:pBdr>
      <w:autoSpaceDE/>
      <w:autoSpaceDN/>
      <w:adjustRightInd/>
      <w:spacing w:before="100" w:beforeAutospacing="1" w:after="100" w:afterAutospacing="1"/>
      <w:jc w:val="center"/>
      <w:textAlignment w:val="center"/>
    </w:pPr>
    <w:rPr>
      <w:rFonts w:ascii="Arial Unicode MS" w:hAnsi="Arial Unicode MS" w:eastAsia="Arial Unicode MS"/>
      <w:sz w:val="20"/>
      <w:szCs w:val="20"/>
    </w:rPr>
  </w:style>
  <w:style w:type="paragraph" w:customStyle="1" w:styleId="148">
    <w:name w:val="xl30"/>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C99FF"/>
      <w:autoSpaceDE/>
      <w:autoSpaceDN/>
      <w:adjustRightInd/>
      <w:spacing w:before="100" w:beforeAutospacing="1" w:after="100" w:afterAutospacing="1"/>
      <w:jc w:val="center"/>
      <w:textAlignment w:val="center"/>
    </w:pPr>
    <w:rPr>
      <w:rFonts w:ascii="Arial Unicode MS" w:hAnsi="Arial Unicode MS" w:eastAsia="Arial Unicode MS"/>
      <w:b/>
      <w:sz w:val="20"/>
      <w:szCs w:val="20"/>
    </w:rPr>
  </w:style>
  <w:style w:type="paragraph" w:customStyle="1" w:styleId="149">
    <w:name w:val="版权"/>
    <w:basedOn w:val="1"/>
    <w:autoRedefine/>
    <w:qFormat/>
    <w:uiPriority w:val="0"/>
    <w:pPr>
      <w:autoSpaceDE/>
      <w:autoSpaceDN/>
      <w:adjustRightInd/>
      <w:spacing w:before="312" w:after="312"/>
      <w:ind w:firstLine="480"/>
      <w:jc w:val="center"/>
      <w:outlineLvl w:val="0"/>
    </w:pPr>
    <w:rPr>
      <w:rFonts w:ascii="华文中宋" w:hAnsi="华文中宋"/>
      <w:b/>
      <w:kern w:val="2"/>
      <w:szCs w:val="20"/>
    </w:rPr>
  </w:style>
  <w:style w:type="paragraph" w:customStyle="1" w:styleId="150">
    <w:name w:val="xl33"/>
    <w:basedOn w:val="1"/>
    <w:qFormat/>
    <w:uiPriority w:val="0"/>
    <w:pPr>
      <w:widowControl/>
      <w:autoSpaceDE/>
      <w:autoSpaceDN/>
      <w:adjustRightInd/>
      <w:spacing w:before="100" w:beforeAutospacing="1" w:after="100" w:afterAutospacing="1"/>
      <w:textAlignment w:val="center"/>
    </w:pPr>
    <w:rPr>
      <w:rFonts w:ascii="Arial Unicode MS" w:hAnsi="Arial Unicode MS" w:eastAsia="Arial Unicode MS"/>
      <w:sz w:val="20"/>
      <w:szCs w:val="20"/>
    </w:rPr>
  </w:style>
  <w:style w:type="paragraph" w:customStyle="1" w:styleId="151">
    <w:name w:val="题目副题"/>
    <w:basedOn w:val="37"/>
    <w:autoRedefine/>
    <w:qFormat/>
    <w:uiPriority w:val="0"/>
    <w:pPr>
      <w:spacing w:before="0" w:after="312"/>
      <w:ind w:left="240" w:firstLine="600"/>
      <w:jc w:val="left"/>
      <w:outlineLvl w:val="9"/>
    </w:pPr>
    <w:rPr>
      <w:rFonts w:ascii="宋体" w:hAnsi="宋体"/>
      <w:sz w:val="30"/>
    </w:rPr>
  </w:style>
  <w:style w:type="paragraph" w:customStyle="1" w:styleId="152">
    <w:name w:val="xl28"/>
    <w:basedOn w:val="1"/>
    <w:autoRedefine/>
    <w:qFormat/>
    <w:uiPriority w:val="0"/>
    <w:pPr>
      <w:widowControl/>
      <w:autoSpaceDE/>
      <w:autoSpaceDN/>
      <w:adjustRightInd/>
      <w:spacing w:before="100" w:beforeAutospacing="1" w:after="100" w:afterAutospacing="1"/>
      <w:jc w:val="center"/>
      <w:textAlignment w:val="center"/>
    </w:pPr>
    <w:rPr>
      <w:rFonts w:ascii="Arial Unicode MS" w:hAnsi="Arial Unicode MS" w:eastAsia="Arial Unicode MS"/>
      <w:sz w:val="20"/>
      <w:szCs w:val="20"/>
    </w:rPr>
  </w:style>
  <w:style w:type="paragraph" w:customStyle="1" w:styleId="153">
    <w:name w:val="_Style 152"/>
    <w:basedOn w:val="2"/>
    <w:next w:val="1"/>
    <w:qFormat/>
    <w:uiPriority w:val="39"/>
    <w:pPr>
      <w:keepNext/>
      <w:keepLines/>
      <w:widowControl/>
      <w:autoSpaceDE/>
      <w:autoSpaceDN/>
      <w:adjustRightInd/>
      <w:spacing w:before="480" w:line="276" w:lineRule="auto"/>
      <w:outlineLvl w:val="9"/>
    </w:pPr>
    <w:rPr>
      <w:rFonts w:ascii="Cambria" w:hAnsi="Cambria"/>
      <w:b/>
      <w:bCs/>
      <w:color w:val="365F91"/>
      <w:sz w:val="28"/>
      <w:szCs w:val="28"/>
    </w:rPr>
  </w:style>
  <w:style w:type="paragraph" w:customStyle="1" w:styleId="154">
    <w:name w:val="_Style 202"/>
    <w:basedOn w:val="1"/>
    <w:autoRedefine/>
    <w:qFormat/>
    <w:uiPriority w:val="0"/>
    <w:pPr>
      <w:tabs>
        <w:tab w:val="left" w:pos="360"/>
      </w:tabs>
      <w:autoSpaceDE/>
      <w:autoSpaceDN/>
      <w:adjustRightInd/>
      <w:jc w:val="both"/>
    </w:pPr>
    <w:rPr>
      <w:rFonts w:ascii="Times New Roman"/>
      <w:kern w:val="2"/>
      <w:sz w:val="21"/>
    </w:rPr>
  </w:style>
  <w:style w:type="paragraph" w:customStyle="1" w:styleId="155">
    <w:name w:val="Default"/>
    <w:autoRedefine/>
    <w:qFormat/>
    <w:uiPriority w:val="0"/>
    <w:pPr>
      <w:widowControl w:val="0"/>
      <w:autoSpaceDE w:val="0"/>
      <w:autoSpaceDN w:val="0"/>
      <w:adjustRightInd w:val="0"/>
    </w:pPr>
    <w:rPr>
      <w:rFonts w:ascii="仿宋" w:hAnsi="仿宋" w:eastAsia="宋体" w:cs="仿宋"/>
      <w:color w:val="000000"/>
      <w:sz w:val="24"/>
      <w:szCs w:val="24"/>
      <w:lang w:val="en-US" w:eastAsia="zh-CN" w:bidi="ar-SA"/>
    </w:rPr>
  </w:style>
  <w:style w:type="paragraph" w:customStyle="1" w:styleId="156">
    <w:name w:val="Char Char"/>
    <w:basedOn w:val="1"/>
    <w:qFormat/>
    <w:uiPriority w:val="0"/>
    <w:pPr>
      <w:autoSpaceDE/>
      <w:autoSpaceDN/>
      <w:adjustRightInd/>
      <w:jc w:val="both"/>
    </w:pPr>
    <w:rPr>
      <w:rFonts w:hAnsi="宋体"/>
      <w:b/>
      <w:kern w:val="2"/>
      <w:sz w:val="28"/>
      <w:szCs w:val="28"/>
    </w:rPr>
  </w:style>
  <w:style w:type="paragraph" w:customStyle="1" w:styleId="157">
    <w:name w:val="正文_16"/>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58">
    <w:name w:val="正文_10"/>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59">
    <w:name w:val="Normal_13"/>
    <w:autoRedefine/>
    <w:qFormat/>
    <w:uiPriority w:val="0"/>
    <w:rPr>
      <w:rFonts w:ascii="Times New Roman" w:hAnsi="Times New Roman" w:eastAsia="宋体" w:cs="Times New Roman"/>
      <w:sz w:val="21"/>
      <w:lang w:val="en-US" w:eastAsia="zh-CN" w:bidi="ar-SA"/>
    </w:rPr>
  </w:style>
  <w:style w:type="character" w:customStyle="1" w:styleId="160">
    <w:name w:val="正文缩进2格 Char Char"/>
    <w:qFormat/>
    <w:uiPriority w:val="0"/>
    <w:rPr>
      <w:rFonts w:ascii="仿宋_GB2312" w:hAnsi="宋体" w:eastAsia="仿宋_GB2312"/>
      <w:sz w:val="31"/>
      <w:szCs w:val="28"/>
    </w:rPr>
  </w:style>
  <w:style w:type="table" w:customStyle="1" w:styleId="161">
    <w:name w:val="网格型1"/>
    <w:basedOn w:val="48"/>
    <w:autoRedefine/>
    <w:qFormat/>
    <w:uiPriority w:val="39"/>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62">
    <w:name w:val="网格型2"/>
    <w:basedOn w:val="48"/>
    <w:autoRedefine/>
    <w:qFormat/>
    <w:uiPriority w:val="39"/>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63">
    <w:name w:val="font6"/>
    <w:basedOn w:val="1"/>
    <w:qFormat/>
    <w:uiPriority w:val="0"/>
    <w:pPr>
      <w:widowControl/>
      <w:autoSpaceDE/>
      <w:autoSpaceDN/>
      <w:adjustRightInd/>
      <w:spacing w:before="100" w:beforeAutospacing="1" w:after="100" w:afterAutospacing="1"/>
    </w:pPr>
    <w:rPr>
      <w:rFonts w:hAnsi="宋体" w:cs="宋体"/>
      <w:color w:val="000000"/>
      <w:sz w:val="21"/>
      <w:szCs w:val="21"/>
    </w:rPr>
  </w:style>
  <w:style w:type="paragraph" w:customStyle="1" w:styleId="164">
    <w:name w:val="font7"/>
    <w:basedOn w:val="1"/>
    <w:qFormat/>
    <w:uiPriority w:val="0"/>
    <w:pPr>
      <w:widowControl/>
      <w:autoSpaceDE/>
      <w:autoSpaceDN/>
      <w:adjustRightInd/>
      <w:spacing w:before="100" w:beforeAutospacing="1" w:after="100" w:afterAutospacing="1"/>
    </w:pPr>
    <w:rPr>
      <w:rFonts w:hAnsi="宋体" w:cs="宋体"/>
      <w:color w:val="000000"/>
      <w:sz w:val="21"/>
      <w:szCs w:val="21"/>
    </w:rPr>
  </w:style>
  <w:style w:type="paragraph" w:customStyle="1" w:styleId="165">
    <w:name w:val="font8"/>
    <w:basedOn w:val="1"/>
    <w:autoRedefine/>
    <w:qFormat/>
    <w:uiPriority w:val="0"/>
    <w:pPr>
      <w:widowControl/>
      <w:autoSpaceDE/>
      <w:autoSpaceDN/>
      <w:adjustRightInd/>
      <w:spacing w:before="100" w:beforeAutospacing="1" w:after="100" w:afterAutospacing="1"/>
    </w:pPr>
    <w:rPr>
      <w:rFonts w:ascii="Calibri" w:hAnsi="Calibri" w:cs="Calibri"/>
      <w:color w:val="000000"/>
      <w:sz w:val="21"/>
      <w:szCs w:val="21"/>
    </w:rPr>
  </w:style>
  <w:style w:type="paragraph" w:customStyle="1" w:styleId="166">
    <w:name w:val="font9"/>
    <w:basedOn w:val="1"/>
    <w:qFormat/>
    <w:uiPriority w:val="0"/>
    <w:pPr>
      <w:widowControl/>
      <w:autoSpaceDE/>
      <w:autoSpaceDN/>
      <w:adjustRightInd/>
      <w:spacing w:before="100" w:beforeAutospacing="1" w:after="100" w:afterAutospacing="1"/>
    </w:pPr>
    <w:rPr>
      <w:rFonts w:hAnsi="宋体" w:cs="宋体"/>
      <w:color w:val="000000"/>
      <w:sz w:val="22"/>
      <w:szCs w:val="22"/>
    </w:rPr>
  </w:style>
  <w:style w:type="paragraph" w:customStyle="1" w:styleId="167">
    <w:name w:val="xl65"/>
    <w:basedOn w:val="1"/>
    <w:autoRedefine/>
    <w:qFormat/>
    <w:uiPriority w:val="0"/>
    <w:pPr>
      <w:widowControl/>
      <w:autoSpaceDE/>
      <w:autoSpaceDN/>
      <w:adjustRightInd/>
      <w:spacing w:before="100" w:beforeAutospacing="1" w:after="100" w:afterAutospacing="1"/>
      <w:jc w:val="center"/>
    </w:pPr>
    <w:rPr>
      <w:rFonts w:hAnsi="宋体" w:cs="宋体"/>
    </w:rPr>
  </w:style>
  <w:style w:type="paragraph" w:customStyle="1" w:styleId="168">
    <w:name w:val="xl66"/>
    <w:basedOn w:val="1"/>
    <w:autoRedefine/>
    <w:qFormat/>
    <w:uiPriority w:val="0"/>
    <w:pPr>
      <w:widowControl/>
      <w:autoSpaceDE/>
      <w:autoSpaceDN/>
      <w:adjustRightInd/>
      <w:spacing w:before="100" w:beforeAutospacing="1" w:after="100" w:afterAutospacing="1"/>
    </w:pPr>
    <w:rPr>
      <w:rFonts w:hAnsi="宋体" w:cs="宋体"/>
    </w:rPr>
  </w:style>
  <w:style w:type="paragraph" w:customStyle="1" w:styleId="169">
    <w:name w:val="xl67"/>
    <w:basedOn w:val="1"/>
    <w:autoRedefine/>
    <w:qFormat/>
    <w:uiPriority w:val="0"/>
    <w:pPr>
      <w:widowControl/>
      <w:pBdr>
        <w:top w:val="single" w:color="auto" w:sz="4" w:space="0"/>
        <w:left w:val="single" w:color="auto" w:sz="4" w:space="0"/>
        <w:bottom w:val="single" w:color="auto" w:sz="4" w:space="0"/>
        <w:right w:val="single" w:color="auto" w:sz="4" w:space="0"/>
      </w:pBdr>
      <w:autoSpaceDE/>
      <w:autoSpaceDN/>
      <w:adjustRightInd/>
      <w:spacing w:before="100" w:beforeAutospacing="1" w:after="100" w:afterAutospacing="1"/>
      <w:jc w:val="center"/>
    </w:pPr>
    <w:rPr>
      <w:rFonts w:hAnsi="宋体" w:cs="宋体"/>
      <w:color w:val="000000"/>
    </w:rPr>
  </w:style>
  <w:style w:type="paragraph" w:customStyle="1" w:styleId="170">
    <w:name w:val="xl68"/>
    <w:basedOn w:val="1"/>
    <w:autoRedefine/>
    <w:qFormat/>
    <w:uiPriority w:val="0"/>
    <w:pPr>
      <w:widowControl/>
      <w:pBdr>
        <w:top w:val="single" w:color="auto" w:sz="4" w:space="0"/>
        <w:left w:val="single" w:color="auto" w:sz="4" w:space="0"/>
        <w:bottom w:val="single" w:color="auto" w:sz="4" w:space="0"/>
        <w:right w:val="single" w:color="auto" w:sz="4" w:space="0"/>
      </w:pBdr>
      <w:autoSpaceDE/>
      <w:autoSpaceDN/>
      <w:adjustRightInd/>
      <w:spacing w:before="100" w:beforeAutospacing="1" w:after="100" w:afterAutospacing="1"/>
      <w:jc w:val="center"/>
    </w:pPr>
    <w:rPr>
      <w:rFonts w:hAnsi="宋体" w:cs="宋体"/>
      <w:color w:val="000000"/>
    </w:rPr>
  </w:style>
  <w:style w:type="paragraph" w:customStyle="1" w:styleId="171">
    <w:name w:val="xl69"/>
    <w:basedOn w:val="1"/>
    <w:autoRedefine/>
    <w:qFormat/>
    <w:uiPriority w:val="0"/>
    <w:pPr>
      <w:widowControl/>
      <w:pBdr>
        <w:top w:val="single" w:color="auto" w:sz="4" w:space="0"/>
        <w:left w:val="single" w:color="auto" w:sz="4" w:space="0"/>
        <w:bottom w:val="single" w:color="auto" w:sz="4" w:space="0"/>
        <w:right w:val="single" w:color="auto" w:sz="4" w:space="0"/>
      </w:pBdr>
      <w:autoSpaceDE/>
      <w:autoSpaceDN/>
      <w:adjustRightInd/>
      <w:spacing w:before="100" w:beforeAutospacing="1" w:after="100" w:afterAutospacing="1"/>
      <w:jc w:val="center"/>
    </w:pPr>
    <w:rPr>
      <w:rFonts w:hAnsi="宋体" w:cs="宋体"/>
      <w:color w:val="000000"/>
    </w:rPr>
  </w:style>
  <w:style w:type="paragraph" w:customStyle="1" w:styleId="172">
    <w:name w:val="xl70"/>
    <w:basedOn w:val="1"/>
    <w:autoRedefine/>
    <w:qFormat/>
    <w:uiPriority w:val="0"/>
    <w:pPr>
      <w:widowControl/>
      <w:pBdr>
        <w:top w:val="single" w:color="auto" w:sz="4" w:space="0"/>
        <w:left w:val="single" w:color="auto" w:sz="4" w:space="0"/>
        <w:bottom w:val="single" w:color="auto" w:sz="4" w:space="0"/>
        <w:right w:val="single" w:color="auto" w:sz="4" w:space="0"/>
      </w:pBdr>
      <w:autoSpaceDE/>
      <w:autoSpaceDN/>
      <w:adjustRightInd/>
      <w:spacing w:before="100" w:beforeAutospacing="1" w:after="100" w:afterAutospacing="1"/>
      <w:jc w:val="both"/>
      <w:textAlignment w:val="top"/>
    </w:pPr>
    <w:rPr>
      <w:rFonts w:hAnsi="宋体" w:cs="宋体"/>
      <w:sz w:val="21"/>
      <w:szCs w:val="21"/>
    </w:rPr>
  </w:style>
  <w:style w:type="paragraph" w:customStyle="1" w:styleId="173">
    <w:name w:val="xl71"/>
    <w:basedOn w:val="1"/>
    <w:autoRedefine/>
    <w:qFormat/>
    <w:uiPriority w:val="0"/>
    <w:pPr>
      <w:widowControl/>
      <w:pBdr>
        <w:top w:val="single" w:color="auto" w:sz="4" w:space="0"/>
        <w:left w:val="single" w:color="auto" w:sz="4" w:space="0"/>
        <w:bottom w:val="single" w:color="auto" w:sz="4" w:space="0"/>
        <w:right w:val="single" w:color="auto" w:sz="4" w:space="0"/>
      </w:pBdr>
      <w:autoSpaceDE/>
      <w:autoSpaceDN/>
      <w:adjustRightInd/>
      <w:spacing w:before="100" w:beforeAutospacing="1" w:after="100" w:afterAutospacing="1"/>
      <w:jc w:val="center"/>
    </w:pPr>
    <w:rPr>
      <w:rFonts w:hAnsi="宋体" w:cs="宋体"/>
    </w:rPr>
  </w:style>
  <w:style w:type="paragraph" w:customStyle="1" w:styleId="174">
    <w:name w:val="xl72"/>
    <w:basedOn w:val="1"/>
    <w:autoRedefine/>
    <w:qFormat/>
    <w:uiPriority w:val="0"/>
    <w:pPr>
      <w:widowControl/>
      <w:pBdr>
        <w:top w:val="single" w:color="auto" w:sz="4" w:space="0"/>
        <w:left w:val="single" w:color="auto" w:sz="4" w:space="0"/>
        <w:bottom w:val="single" w:color="auto" w:sz="4" w:space="0"/>
        <w:right w:val="single" w:color="auto" w:sz="4" w:space="0"/>
      </w:pBdr>
      <w:autoSpaceDE/>
      <w:autoSpaceDN/>
      <w:adjustRightInd/>
      <w:spacing w:before="100" w:beforeAutospacing="1" w:after="100" w:afterAutospacing="1"/>
    </w:pPr>
    <w:rPr>
      <w:rFonts w:hAnsi="宋体" w:cs="宋体"/>
    </w:rPr>
  </w:style>
  <w:style w:type="paragraph" w:customStyle="1" w:styleId="175">
    <w:name w:val="xl73"/>
    <w:basedOn w:val="1"/>
    <w:autoRedefine/>
    <w:qFormat/>
    <w:uiPriority w:val="0"/>
    <w:pPr>
      <w:widowControl/>
      <w:pBdr>
        <w:top w:val="single" w:color="auto" w:sz="4" w:space="0"/>
        <w:left w:val="single" w:color="auto" w:sz="4" w:space="0"/>
        <w:bottom w:val="single" w:color="auto" w:sz="4" w:space="0"/>
        <w:right w:val="single" w:color="auto" w:sz="4" w:space="0"/>
      </w:pBdr>
      <w:autoSpaceDE/>
      <w:autoSpaceDN/>
      <w:adjustRightInd/>
      <w:spacing w:before="100" w:beforeAutospacing="1" w:after="100" w:afterAutospacing="1"/>
      <w:jc w:val="both"/>
    </w:pPr>
    <w:rPr>
      <w:rFonts w:hAnsi="宋体" w:cs="宋体"/>
      <w:sz w:val="21"/>
      <w:szCs w:val="21"/>
    </w:rPr>
  </w:style>
  <w:style w:type="paragraph" w:customStyle="1" w:styleId="176">
    <w:name w:val="xl74"/>
    <w:basedOn w:val="1"/>
    <w:qFormat/>
    <w:uiPriority w:val="0"/>
    <w:pPr>
      <w:widowControl/>
      <w:pBdr>
        <w:top w:val="single" w:color="auto" w:sz="4" w:space="0"/>
        <w:left w:val="single" w:color="auto" w:sz="4" w:space="0"/>
        <w:bottom w:val="single" w:color="auto" w:sz="4" w:space="0"/>
        <w:right w:val="single" w:color="auto" w:sz="4" w:space="0"/>
      </w:pBdr>
      <w:autoSpaceDE/>
      <w:autoSpaceDN/>
      <w:adjustRightInd/>
      <w:spacing w:before="100" w:beforeAutospacing="1" w:after="100" w:afterAutospacing="1"/>
      <w:jc w:val="both"/>
    </w:pPr>
    <w:rPr>
      <w:rFonts w:ascii="Calibri" w:hAnsi="Calibri" w:cs="Calibri"/>
      <w:sz w:val="21"/>
      <w:szCs w:val="21"/>
    </w:rPr>
  </w:style>
  <w:style w:type="paragraph" w:customStyle="1" w:styleId="177">
    <w:name w:val="xl75"/>
    <w:basedOn w:val="1"/>
    <w:autoRedefine/>
    <w:qFormat/>
    <w:uiPriority w:val="0"/>
    <w:pPr>
      <w:widowControl/>
      <w:pBdr>
        <w:top w:val="single" w:color="auto" w:sz="4" w:space="0"/>
        <w:left w:val="single" w:color="auto" w:sz="4" w:space="0"/>
        <w:bottom w:val="single" w:color="auto" w:sz="4" w:space="0"/>
        <w:right w:val="single" w:color="auto" w:sz="4" w:space="0"/>
      </w:pBdr>
      <w:autoSpaceDE/>
      <w:autoSpaceDN/>
      <w:adjustRightInd/>
      <w:spacing w:before="100" w:beforeAutospacing="1" w:after="100" w:afterAutospacing="1"/>
      <w:jc w:val="both"/>
      <w:textAlignment w:val="top"/>
    </w:pPr>
    <w:rPr>
      <w:rFonts w:hAnsi="宋体" w:cs="宋体"/>
      <w:color w:val="000000"/>
      <w:sz w:val="21"/>
      <w:szCs w:val="21"/>
    </w:rPr>
  </w:style>
  <w:style w:type="paragraph" w:customStyle="1" w:styleId="178">
    <w:name w:val="xl76"/>
    <w:basedOn w:val="1"/>
    <w:qFormat/>
    <w:uiPriority w:val="0"/>
    <w:pPr>
      <w:widowControl/>
      <w:pBdr>
        <w:top w:val="single" w:color="auto" w:sz="4" w:space="0"/>
        <w:left w:val="single" w:color="auto" w:sz="4" w:space="0"/>
        <w:bottom w:val="single" w:color="auto" w:sz="4" w:space="0"/>
        <w:right w:val="single" w:color="auto" w:sz="4" w:space="0"/>
      </w:pBdr>
      <w:autoSpaceDE/>
      <w:autoSpaceDN/>
      <w:adjustRightInd/>
      <w:spacing w:before="100" w:beforeAutospacing="1" w:after="100" w:afterAutospacing="1"/>
      <w:jc w:val="both"/>
    </w:pPr>
    <w:rPr>
      <w:rFonts w:hAnsi="宋体" w:cs="宋体"/>
      <w:color w:val="000000"/>
      <w:sz w:val="21"/>
      <w:szCs w:val="21"/>
    </w:rPr>
  </w:style>
  <w:style w:type="paragraph" w:customStyle="1" w:styleId="179">
    <w:name w:val="xl77"/>
    <w:basedOn w:val="1"/>
    <w:autoRedefine/>
    <w:qFormat/>
    <w:uiPriority w:val="0"/>
    <w:pPr>
      <w:widowControl/>
      <w:pBdr>
        <w:top w:val="single" w:color="auto" w:sz="4" w:space="0"/>
        <w:left w:val="single" w:color="auto" w:sz="4" w:space="0"/>
        <w:bottom w:val="single" w:color="auto" w:sz="4" w:space="0"/>
        <w:right w:val="single" w:color="auto" w:sz="4" w:space="0"/>
      </w:pBdr>
      <w:autoSpaceDE/>
      <w:autoSpaceDN/>
      <w:adjustRightInd/>
      <w:spacing w:before="100" w:beforeAutospacing="1" w:after="100" w:afterAutospacing="1"/>
      <w:jc w:val="both"/>
    </w:pPr>
    <w:rPr>
      <w:rFonts w:hAnsi="宋体" w:cs="宋体"/>
    </w:rPr>
  </w:style>
  <w:style w:type="table" w:customStyle="1" w:styleId="180">
    <w:name w:val="网格型3"/>
    <w:basedOn w:val="48"/>
    <w:autoRedefine/>
    <w:qFormat/>
    <w:uiPriority w:val="59"/>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81">
    <w:name w:val="font11"/>
    <w:basedOn w:val="50"/>
    <w:autoRedefine/>
    <w:qFormat/>
    <w:uiPriority w:val="0"/>
    <w:rPr>
      <w:rFonts w:hint="eastAsia" w:ascii="宋体" w:hAnsi="宋体" w:eastAsia="宋体" w:cs="宋体"/>
      <w:color w:val="000000"/>
      <w:sz w:val="19"/>
      <w:szCs w:val="19"/>
      <w:u w:val="none"/>
    </w:rPr>
  </w:style>
  <w:style w:type="character" w:customStyle="1" w:styleId="182">
    <w:name w:val="font31"/>
    <w:basedOn w:val="50"/>
    <w:qFormat/>
    <w:uiPriority w:val="0"/>
    <w:rPr>
      <w:rFonts w:hint="eastAsia" w:ascii="宋体" w:hAnsi="宋体" w:eastAsia="宋体" w:cs="宋体"/>
      <w:color w:val="000000"/>
      <w:sz w:val="19"/>
      <w:szCs w:val="19"/>
      <w:u w:val="none"/>
    </w:rPr>
  </w:style>
  <w:style w:type="character" w:customStyle="1" w:styleId="183">
    <w:name w:val="font21"/>
    <w:basedOn w:val="50"/>
    <w:qFormat/>
    <w:uiPriority w:val="0"/>
    <w:rPr>
      <w:rFonts w:hint="eastAsia" w:ascii="宋体" w:hAnsi="宋体" w:eastAsia="宋体" w:cs="宋体"/>
      <w:color w:val="000000"/>
      <w:sz w:val="19"/>
      <w:szCs w:val="19"/>
      <w:u w:val="none"/>
      <w:vertAlign w:val="superscript"/>
    </w:rPr>
  </w:style>
  <w:style w:type="paragraph" w:customStyle="1" w:styleId="184">
    <w:name w:val="样式1"/>
    <w:basedOn w:val="1"/>
    <w:qFormat/>
    <w:uiPriority w:val="0"/>
    <w:rPr>
      <w:rFonts w:ascii="黑体" w:eastAsia="黑体"/>
      <w:spacing w:val="22"/>
    </w:rPr>
  </w:style>
  <w:style w:type="paragraph" w:customStyle="1" w:styleId="185">
    <w:name w:val="首行缩进"/>
    <w:basedOn w:val="1"/>
    <w:qFormat/>
    <w:uiPriority w:val="0"/>
    <w:pPr>
      <w:ind w:firstLine="480" w:firstLineChars="200"/>
    </w:pPr>
    <w:rPr>
      <w:lang w:val="zh-CN"/>
    </w:rPr>
  </w:style>
  <w:style w:type="paragraph" w:customStyle="1" w:styleId="186">
    <w:name w:val="null3"/>
    <w:hidden/>
    <w:qFormat/>
    <w:uiPriority w:val="0"/>
    <w:rPr>
      <w:rFonts w:hint="eastAsia" w:asciiTheme="minorHAnsi" w:hAnsiTheme="minorHAnsi" w:eastAsiaTheme="minorEastAsia" w:cstheme="minorBidi"/>
      <w:lang w:val="en-US" w:eastAsia="zh-Hans" w:bidi="ar-SA"/>
    </w:rPr>
  </w:style>
  <w:style w:type="paragraph" w:customStyle="1" w:styleId="187">
    <w:name w:val="Revision"/>
    <w:hidden/>
    <w:semiHidden/>
    <w:qFormat/>
    <w:uiPriority w:val="99"/>
    <w:rPr>
      <w:rFonts w:ascii="宋体" w:hAnsi="Times New Roman" w:eastAsia="宋体" w:cs="Times New Roman"/>
      <w:sz w:val="24"/>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header" Target="header1.xml"/><Relationship Id="rId3" Type="http://schemas.openxmlformats.org/officeDocument/2006/relationships/footer" Target="foot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85</Pages>
  <Words>44713</Words>
  <Characters>46325</Characters>
  <Lines>365</Lines>
  <Paragraphs>102</Paragraphs>
  <TotalTime>2</TotalTime>
  <ScaleCrop>false</ScaleCrop>
  <LinksUpToDate>false</LinksUpToDate>
  <CharactersWithSpaces>48994</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2023-08-09T10:39:00Z</dcterms:created>
  <dc:creator>付</dc:creator>
  <cp:lastModifiedBy>中科-杨</cp:lastModifiedBy>
  <cp:lastPrinted>2024-06-21T01:23:00Z</cp:lastPrinted>
  <dcterms:modified xsi:type="dcterms:W3CDTF">2024-07-03T09:08:37Z</dcterms:modified>
  <dc:title>货物公开</dc:title>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DE2CF77F744E46C6B0FFD118E36003BE_13</vt:lpwstr>
  </property>
</Properties>
</file>